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18E" w:rsidRDefault="0053018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3018E" w:rsidRDefault="0053018E">
      <w:pPr>
        <w:pStyle w:val="ConsPlusNormal"/>
        <w:jc w:val="both"/>
        <w:outlineLvl w:val="0"/>
      </w:pPr>
    </w:p>
    <w:p w:rsidR="0053018E" w:rsidRDefault="0053018E">
      <w:pPr>
        <w:pStyle w:val="ConsPlusTitle"/>
        <w:jc w:val="center"/>
      </w:pPr>
      <w:r>
        <w:t>МИНИСТЕРСТВО ПРИРОДНЫХ РЕСУРСОВ И ЭКОЛОГИИ</w:t>
      </w:r>
    </w:p>
    <w:p w:rsidR="0053018E" w:rsidRDefault="0053018E">
      <w:pPr>
        <w:pStyle w:val="ConsPlusTitle"/>
        <w:jc w:val="center"/>
      </w:pPr>
      <w:r>
        <w:t>РОССИЙСКОЙ ФЕДЕРАЦИИ</w:t>
      </w:r>
    </w:p>
    <w:p w:rsidR="0053018E" w:rsidRDefault="0053018E">
      <w:pPr>
        <w:pStyle w:val="ConsPlusTitle"/>
        <w:jc w:val="center"/>
      </w:pPr>
    </w:p>
    <w:p w:rsidR="0053018E" w:rsidRDefault="0053018E">
      <w:pPr>
        <w:pStyle w:val="ConsPlusTitle"/>
        <w:jc w:val="center"/>
      </w:pPr>
      <w:r>
        <w:t>ПИСЬМО</w:t>
      </w:r>
    </w:p>
    <w:p w:rsidR="0053018E" w:rsidRDefault="0053018E">
      <w:pPr>
        <w:pStyle w:val="ConsPlusTitle"/>
        <w:jc w:val="center"/>
      </w:pPr>
      <w:r>
        <w:t>от 22 июля 2019 г. N 12-47/17128</w:t>
      </w:r>
    </w:p>
    <w:p w:rsidR="0053018E" w:rsidRDefault="0053018E">
      <w:pPr>
        <w:pStyle w:val="ConsPlusTitle"/>
        <w:jc w:val="center"/>
      </w:pPr>
    </w:p>
    <w:p w:rsidR="0053018E" w:rsidRDefault="0053018E">
      <w:pPr>
        <w:pStyle w:val="ConsPlusTitle"/>
        <w:jc w:val="center"/>
      </w:pPr>
      <w:r>
        <w:t>О ТРЕБОВАНИЯХ К СИСТЕМАМ АВТОМАТИЧЕСКОГО КОНТРОЛЯ</w:t>
      </w:r>
    </w:p>
    <w:p w:rsidR="0053018E" w:rsidRDefault="0053018E">
      <w:pPr>
        <w:pStyle w:val="ConsPlusNormal"/>
        <w:jc w:val="both"/>
      </w:pPr>
    </w:p>
    <w:p w:rsidR="0053018E" w:rsidRDefault="0053018E">
      <w:pPr>
        <w:pStyle w:val="ConsPlusNormal"/>
        <w:ind w:firstLine="540"/>
        <w:jc w:val="both"/>
      </w:pPr>
      <w:r>
        <w:t>Минприроды России рассмотрело обращение по вопросам, в том числе о требованиях к системам автоматического контроля, и в пределах своей компетенции сообщает.</w:t>
      </w:r>
    </w:p>
    <w:p w:rsidR="0053018E" w:rsidRDefault="0053018E">
      <w:pPr>
        <w:pStyle w:val="ConsPlusNormal"/>
        <w:spacing w:before="220"/>
        <w:ind w:firstLine="540"/>
        <w:jc w:val="both"/>
      </w:pPr>
      <w:r>
        <w:t xml:space="preserve">В соответствии с </w:t>
      </w:r>
      <w:hyperlink r:id="rId5" w:history="1">
        <w:r>
          <w:rPr>
            <w:color w:val="0000FF"/>
          </w:rPr>
          <w:t>пунктом 3.1 статьи 67</w:t>
        </w:r>
      </w:hyperlink>
      <w:r>
        <w:t xml:space="preserve"> Федерального закона от 10.01.2002 N 7-ФЗ "Об охране окружающей среды" (далее - Закон N 7-ФЗ) программа производственного экологического контроля для объектов I категории, указанных в </w:t>
      </w:r>
      <w:hyperlink r:id="rId6" w:history="1">
        <w:r>
          <w:rPr>
            <w:color w:val="0000FF"/>
          </w:rPr>
          <w:t>пункте 9</w:t>
        </w:r>
      </w:hyperlink>
      <w:r>
        <w:t xml:space="preserve"> указанной статьи Закона N 7-ФЗ,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w:t>
      </w:r>
      <w:hyperlink r:id="rId7" w:history="1">
        <w:r>
          <w:rPr>
            <w:color w:val="0000FF"/>
          </w:rPr>
          <w:t>законом</w:t>
        </w:r>
      </w:hyperlink>
      <w:r>
        <w:t>.</w:t>
      </w:r>
    </w:p>
    <w:p w:rsidR="0053018E" w:rsidRDefault="0053018E">
      <w:pPr>
        <w:pStyle w:val="ConsPlusNormal"/>
        <w:spacing w:before="220"/>
        <w:ind w:firstLine="540"/>
        <w:jc w:val="both"/>
      </w:pPr>
      <w:r>
        <w:t xml:space="preserve">Согласно </w:t>
      </w:r>
      <w:hyperlink r:id="rId8" w:history="1">
        <w:r>
          <w:rPr>
            <w:color w:val="0000FF"/>
          </w:rPr>
          <w:t>пункту 9 статьи 67</w:t>
        </w:r>
      </w:hyperlink>
      <w:r>
        <w:t xml:space="preserve"> Закона N 7-ФЗ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53018E" w:rsidRDefault="0053018E">
      <w:pPr>
        <w:pStyle w:val="ConsPlusNormal"/>
        <w:spacing w:before="220"/>
        <w:ind w:firstLine="540"/>
        <w:jc w:val="both"/>
      </w:pPr>
      <w:hyperlink r:id="rId9" w:history="1">
        <w:r>
          <w:rPr>
            <w:color w:val="0000FF"/>
          </w:rPr>
          <w:t>Виды</w:t>
        </w:r>
      </w:hyperlink>
      <w:r>
        <w:t xml:space="preserve">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утверждены распоряжением Правительства Российской Федерации от 13.03.2019 N 428-р (далее - Распоряжение N 428-р).</w:t>
      </w:r>
    </w:p>
    <w:p w:rsidR="0053018E" w:rsidRDefault="0053018E">
      <w:pPr>
        <w:pStyle w:val="ConsPlusNormal"/>
        <w:spacing w:before="220"/>
        <w:ind w:firstLine="540"/>
        <w:jc w:val="both"/>
      </w:pPr>
      <w:hyperlink r:id="rId10" w:history="1">
        <w:r>
          <w:rPr>
            <w:color w:val="0000FF"/>
          </w:rPr>
          <w:t>Правила</w:t>
        </w:r>
      </w:hyperlink>
      <w:r>
        <w:t xml:space="preserve"> создания и эксплуатации системы автоматического контроля выбросов загрязняющих веществ и (или) сбросов загрязняющих веществ утверждены постановлением Правительства Российской Федерации от 13.03.2019 N 262 (далее - Правила N 262), установлен механизм выбора на вышеуказанных технических устройствах, оборудовании или их совокупности (установках) источников выбросов и (или) сбросов, подлежащих оснащению автоматическими средствами измерения и учета показателей выбросов и (или) сбросов.</w:t>
      </w:r>
    </w:p>
    <w:p w:rsidR="0053018E" w:rsidRDefault="0053018E">
      <w:pPr>
        <w:pStyle w:val="ConsPlusNormal"/>
        <w:spacing w:before="220"/>
        <w:ind w:firstLine="540"/>
        <w:jc w:val="both"/>
      </w:pPr>
      <w:r>
        <w:t xml:space="preserve">Учитывая изложенное, оснащению автоматическими средствами измерения и учета показателей выбросов на объектах I категории подлежат выбранные в соответствии с </w:t>
      </w:r>
      <w:hyperlink r:id="rId11" w:history="1">
        <w:r>
          <w:rPr>
            <w:color w:val="0000FF"/>
          </w:rPr>
          <w:t>Правилами</w:t>
        </w:r>
      </w:hyperlink>
      <w:r>
        <w:t xml:space="preserve"> N 262 источники выбросов от технических устройств, оборудования или их совокупности (установок), указанных в </w:t>
      </w:r>
      <w:hyperlink r:id="rId12" w:history="1">
        <w:r>
          <w:rPr>
            <w:color w:val="0000FF"/>
          </w:rPr>
          <w:t>Распоряжении</w:t>
        </w:r>
      </w:hyperlink>
      <w:r>
        <w:t xml:space="preserve"> N 428-р.</w:t>
      </w:r>
    </w:p>
    <w:p w:rsidR="0053018E" w:rsidRDefault="0053018E">
      <w:pPr>
        <w:pStyle w:val="ConsPlusNormal"/>
        <w:spacing w:before="220"/>
        <w:ind w:firstLine="540"/>
        <w:jc w:val="both"/>
      </w:pPr>
      <w:r>
        <w:t xml:space="preserve">Таким образом, в случае, если величина массового выброса вещества на источнике выбранного оборудования не превышает значений, указанных в </w:t>
      </w:r>
      <w:hyperlink r:id="rId13" w:history="1">
        <w:r>
          <w:rPr>
            <w:color w:val="0000FF"/>
          </w:rPr>
          <w:t>пункте 8</w:t>
        </w:r>
      </w:hyperlink>
      <w:r>
        <w:t xml:space="preserve"> Правил N 262, автоматический контроль выбросов такого вещества на данном источнике не требуется.</w:t>
      </w:r>
    </w:p>
    <w:p w:rsidR="0053018E" w:rsidRDefault="0053018E">
      <w:pPr>
        <w:pStyle w:val="ConsPlusNormal"/>
        <w:jc w:val="both"/>
      </w:pPr>
    </w:p>
    <w:p w:rsidR="0053018E" w:rsidRDefault="0053018E">
      <w:pPr>
        <w:pStyle w:val="ConsPlusNormal"/>
        <w:jc w:val="right"/>
      </w:pPr>
      <w:r>
        <w:t>Директор Департамента</w:t>
      </w:r>
    </w:p>
    <w:p w:rsidR="0053018E" w:rsidRDefault="0053018E">
      <w:pPr>
        <w:pStyle w:val="ConsPlusNormal"/>
        <w:jc w:val="right"/>
      </w:pPr>
      <w:r>
        <w:t>государственной политики</w:t>
      </w:r>
    </w:p>
    <w:p w:rsidR="0053018E" w:rsidRDefault="0053018E">
      <w:pPr>
        <w:pStyle w:val="ConsPlusNormal"/>
        <w:jc w:val="right"/>
      </w:pPr>
      <w:r>
        <w:t>и регулирования в сфере</w:t>
      </w:r>
    </w:p>
    <w:p w:rsidR="0053018E" w:rsidRDefault="0053018E">
      <w:pPr>
        <w:pStyle w:val="ConsPlusNormal"/>
        <w:jc w:val="right"/>
      </w:pPr>
      <w:r>
        <w:t>охраны окружающей среды</w:t>
      </w:r>
    </w:p>
    <w:p w:rsidR="0053018E" w:rsidRDefault="0053018E">
      <w:pPr>
        <w:pStyle w:val="ConsPlusNormal"/>
        <w:jc w:val="right"/>
      </w:pPr>
      <w:r>
        <w:t>и экологической безопасности</w:t>
      </w:r>
    </w:p>
    <w:p w:rsidR="0053018E" w:rsidRDefault="0053018E">
      <w:pPr>
        <w:pStyle w:val="ConsPlusNormal"/>
        <w:jc w:val="right"/>
      </w:pPr>
      <w:r>
        <w:t>И.В.ИВАЧЕВ</w:t>
      </w:r>
    </w:p>
    <w:p w:rsidR="0053018E" w:rsidRDefault="0053018E">
      <w:pPr>
        <w:pStyle w:val="ConsPlusNormal"/>
        <w:jc w:val="both"/>
      </w:pPr>
    </w:p>
    <w:p w:rsidR="0053018E" w:rsidRDefault="0053018E">
      <w:pPr>
        <w:pStyle w:val="ConsPlusNormal"/>
        <w:jc w:val="both"/>
      </w:pPr>
    </w:p>
    <w:p w:rsidR="0053018E" w:rsidRDefault="0053018E">
      <w:pPr>
        <w:pStyle w:val="ConsPlusNormal"/>
        <w:pBdr>
          <w:top w:val="single" w:sz="6" w:space="0" w:color="auto"/>
        </w:pBdr>
        <w:spacing w:before="100" w:after="100"/>
        <w:jc w:val="both"/>
        <w:rPr>
          <w:sz w:val="2"/>
          <w:szCs w:val="2"/>
        </w:rPr>
      </w:pPr>
    </w:p>
    <w:p w:rsidR="00DF3B9A" w:rsidRDefault="0053018E">
      <w:bookmarkStart w:id="0" w:name="_GoBack"/>
      <w:bookmarkEnd w:id="0"/>
    </w:p>
    <w:sectPr w:rsidR="00DF3B9A" w:rsidSect="009C6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8E"/>
    <w:rsid w:val="001F1A74"/>
    <w:rsid w:val="0053018E"/>
    <w:rsid w:val="00731016"/>
    <w:rsid w:val="00D60DFA"/>
    <w:rsid w:val="00E4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C35DA-6C54-4C78-BCB1-D0C54123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1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01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01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C4272C0B92FD4A5F78FDE4D6AA7E093BA88B23AE3D36639014EF41E9360D8B4092BFB32A7216G" TargetMode="External"/><Relationship Id="rId13" Type="http://schemas.openxmlformats.org/officeDocument/2006/relationships/hyperlink" Target="consultantplus://offline/ref=D8C4272C0B92FD4A5F78FDE4D6AA7E093BA98B20A33A36639014EF41E9360D8B4092BFB52F2743697214G" TargetMode="External"/><Relationship Id="rId3" Type="http://schemas.openxmlformats.org/officeDocument/2006/relationships/webSettings" Target="webSettings.xml"/><Relationship Id="rId7" Type="http://schemas.openxmlformats.org/officeDocument/2006/relationships/hyperlink" Target="consultantplus://offline/ref=D8C4272C0B92FD4A5F78FDE4D6AA7E093BA88B23AE3D36639014EF41E97316G" TargetMode="External"/><Relationship Id="rId12" Type="http://schemas.openxmlformats.org/officeDocument/2006/relationships/hyperlink" Target="consultantplus://offline/ref=D8C4272C0B92FD4A5F78FDE4D6AA7E093BA98B20A33536639014EF41E97316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8C4272C0B92FD4A5F78FDE4D6AA7E093BA88B23AE3D36639014EF41E9360D8B4092BFB32A7216G" TargetMode="External"/><Relationship Id="rId11" Type="http://schemas.openxmlformats.org/officeDocument/2006/relationships/hyperlink" Target="consultantplus://offline/ref=D8C4272C0B92FD4A5F78FDE4D6AA7E093BA98B20A33A36639014EF41E9360D8B4092BFB52F27436B721BG" TargetMode="External"/><Relationship Id="rId5" Type="http://schemas.openxmlformats.org/officeDocument/2006/relationships/hyperlink" Target="consultantplus://offline/ref=D8C4272C0B92FD4A5F78FDE4D6AA7E093BA88B23AE3D36639014EF41E9360D8B4092BFB32A7217G" TargetMode="External"/><Relationship Id="rId15" Type="http://schemas.openxmlformats.org/officeDocument/2006/relationships/theme" Target="theme/theme1.xml"/><Relationship Id="rId10" Type="http://schemas.openxmlformats.org/officeDocument/2006/relationships/hyperlink" Target="consultantplus://offline/ref=D8C4272C0B92FD4A5F78FDE4D6AA7E093BA98B20A33A36639014EF41E9360D8B4092BFB52F27436B721B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8C4272C0B92FD4A5F78FDE4D6AA7E093BA98B20A33536639014EF41E9360D8B4092BFB52F27436B7215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Тимохина</dc:creator>
  <cp:keywords/>
  <dc:description/>
  <cp:lastModifiedBy>Александра Тимохина</cp:lastModifiedBy>
  <cp:revision>1</cp:revision>
  <dcterms:created xsi:type="dcterms:W3CDTF">2019-11-25T06:53:00Z</dcterms:created>
  <dcterms:modified xsi:type="dcterms:W3CDTF">2019-11-25T06:54:00Z</dcterms:modified>
</cp:coreProperties>
</file>