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b/>
          <w:bCs/>
          <w:sz w:val="21"/>
          <w:szCs w:val="21"/>
          <w:lang w:eastAsia="ru-RU"/>
        </w:rPr>
        <w:t>Вопрос</w:t>
      </w:r>
      <w:r w:rsidRPr="00231856">
        <w:rPr>
          <w:rFonts w:ascii="Arial" w:eastAsia="Times New Roman" w:hAnsi="Arial" w:cs="Arial"/>
          <w:sz w:val="21"/>
          <w:szCs w:val="21"/>
          <w:lang w:eastAsia="ru-RU"/>
        </w:rPr>
        <w:t>: Об НДФЛ и страховых взносах при компенсации генеральному директору стоимости авиабилетов от места проведения отпуска к месту проведения рабочей встречи и обратно.</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b/>
          <w:bCs/>
          <w:sz w:val="21"/>
          <w:szCs w:val="21"/>
          <w:lang w:eastAsia="ru-RU"/>
        </w:rPr>
        <w:t>Ответ</w:t>
      </w:r>
      <w:r w:rsidRPr="00231856">
        <w:rPr>
          <w:rFonts w:ascii="Arial" w:eastAsia="Times New Roman" w:hAnsi="Arial" w:cs="Arial"/>
          <w:sz w:val="21"/>
          <w:szCs w:val="21"/>
          <w:lang w:eastAsia="ru-RU"/>
        </w:rPr>
        <w:t>:</w:t>
      </w:r>
    </w:p>
    <w:p w:rsidR="00231856" w:rsidRPr="00231856" w:rsidRDefault="00231856" w:rsidP="00231856">
      <w:pPr>
        <w:shd w:val="clear" w:color="auto" w:fill="FFFFFF"/>
        <w:spacing w:after="0" w:line="240" w:lineRule="auto"/>
        <w:jc w:val="center"/>
        <w:rPr>
          <w:rFonts w:ascii="Arial" w:eastAsia="Times New Roman" w:hAnsi="Arial" w:cs="Arial"/>
          <w:sz w:val="21"/>
          <w:szCs w:val="21"/>
          <w:lang w:eastAsia="ru-RU"/>
        </w:rPr>
      </w:pPr>
      <w:r w:rsidRPr="00231856">
        <w:rPr>
          <w:rFonts w:ascii="Arial" w:eastAsia="Times New Roman" w:hAnsi="Arial" w:cs="Arial"/>
          <w:sz w:val="21"/>
          <w:szCs w:val="21"/>
          <w:lang w:eastAsia="ru-RU"/>
        </w:rPr>
        <w:t>МИНИСТЕРСТВО ФИНАНСОВ РОССИЙСКОЙ ФЕДЕРАЦИИ</w:t>
      </w:r>
    </w:p>
    <w:p w:rsidR="00231856" w:rsidRPr="00231856" w:rsidRDefault="00231856" w:rsidP="00231856">
      <w:pPr>
        <w:shd w:val="clear" w:color="auto" w:fill="FFFFFF"/>
        <w:spacing w:after="0" w:line="240" w:lineRule="auto"/>
        <w:jc w:val="center"/>
        <w:rPr>
          <w:rFonts w:ascii="Arial" w:eastAsia="Times New Roman" w:hAnsi="Arial" w:cs="Arial"/>
          <w:sz w:val="21"/>
          <w:szCs w:val="21"/>
          <w:lang w:eastAsia="ru-RU"/>
        </w:rPr>
      </w:pPr>
      <w:r w:rsidRPr="00231856">
        <w:rPr>
          <w:rFonts w:ascii="Arial" w:eastAsia="Times New Roman" w:hAnsi="Arial" w:cs="Arial"/>
          <w:sz w:val="21"/>
          <w:szCs w:val="21"/>
          <w:lang w:eastAsia="ru-RU"/>
        </w:rPr>
        <w:t>ПИСЬМО</w:t>
      </w:r>
    </w:p>
    <w:p w:rsidR="00231856" w:rsidRPr="00231856" w:rsidRDefault="00231856" w:rsidP="00231856">
      <w:pPr>
        <w:shd w:val="clear" w:color="auto" w:fill="FFFFFF"/>
        <w:spacing w:after="0" w:line="240" w:lineRule="auto"/>
        <w:jc w:val="center"/>
        <w:rPr>
          <w:rFonts w:ascii="Arial" w:eastAsia="Times New Roman" w:hAnsi="Arial" w:cs="Arial"/>
          <w:sz w:val="21"/>
          <w:szCs w:val="21"/>
          <w:lang w:eastAsia="ru-RU"/>
        </w:rPr>
      </w:pPr>
      <w:r w:rsidRPr="00231856">
        <w:rPr>
          <w:rFonts w:ascii="Arial" w:eastAsia="Times New Roman" w:hAnsi="Arial" w:cs="Arial"/>
          <w:sz w:val="21"/>
          <w:szCs w:val="21"/>
          <w:lang w:eastAsia="ru-RU"/>
        </w:rPr>
        <w:t>от 21 февраля 2019 г. N 03-15-06/11330</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 xml:space="preserve">Департамент налоговой и таможенной политики рассмотрел обращение от 18.12.2018 по вопросам об обложении налогом на доходы физических лиц и страховыми взносами сумм выплат в виде компенсации расходов работника, связанных с его проездом от места проведения отпуска к месту выполнения служебных обязанностей в г. Москве и обратно, и сообщает </w:t>
      </w:r>
      <w:bookmarkStart w:id="0" w:name="_GoBack"/>
      <w:bookmarkEnd w:id="0"/>
      <w:r w:rsidRPr="00231856">
        <w:rPr>
          <w:rFonts w:ascii="Arial" w:eastAsia="Times New Roman" w:hAnsi="Arial" w:cs="Arial"/>
          <w:sz w:val="21"/>
          <w:szCs w:val="21"/>
          <w:lang w:eastAsia="ru-RU"/>
        </w:rPr>
        <w:t>следующее.</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Из запроса следует, что генеральный директор, работа которого по условиям трудового договора имеет разъездной характер, был отозван из отпуска. Организацией была выплачена компенсация стоимости авиабилетов от места использования отпуска к месту проведения рабочей встречи в г. Москве и обратно к месту использования отпуска.</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Исходя из положений статьи 168.1 Трудового кодекса Российской Федерации (далее — Трудовой кодекс) разъездной работой является работа, при которой работник постоянно выполняет свои должностные обязанности вне расположения организации, в том числе осуществляет постоянную работу в пути.</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При этом поездка работника по распоряжению работодателя на определенный срок для выполнения служебного поручения вне места постоянной работы является служебной командировкой. Служебные поездки работников, постоянная работа которых осуществляется в пути или имеет разъездной характер, служебными командировками не признаются (статья 166 Трудового кодекса).</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Таким образом, в отличие от командировок, которые носят временный характер, разъездной характер работы имеет постоянный характер.</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В этой связи, по мнению Департамента, работа генерального директора не может относиться к работе, имеющей разъездной характер.</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Вместе с тем считаем, что по вопросу квалификации той или иной выплаты работнику следует обратиться в Министерство труда и социальной защиты Российской Федерации.</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1. Налог на доходы физических лиц</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В соответствии с пунктом 1 статьи 210 Налогового кодекса Российской Федерации (далее — Налоговый кодекс) при определении налоговой базы учитываются все доходы налогоплательщика, полученные им как в денежной, так и в натуральной формах, или право на распоряжение которыми у него возникло.</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Статья 41 Налогового кодекса определяет доход как экономическую выгоду в денежной или натуральной форме, учитываемую в случае возможности ее оценки и в той мере, в которой такую выгоду можно оценить, и определяемую для физических лиц в соответствии с главой 23 «Налог на доходы физических лиц» Налогового кодекса.</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Перечень доходов, освобождаемых от обложения налогом на доходы физических лиц, содержится в статье 217 Налогового кодекса.</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Так, пунктом 3 статьи 217 Налогового кодекса предусмотрено освобождение от обложения налогом на доходы физических лиц всех видов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в частности, с исполнением налогоплательщиком трудовых обязанностей.</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В соответствии с положениями статьи 125 Трудового кодекса отзыв работника из отпуска осуществляется работодателем с согласия работника.</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При этом ни Трудовым кодексом, ни иными положениями действующего законодательства Российской Федерации не предусмотрено норм, устанавливающих обязанность возмещения работодателем стоимости проезда от места проведения отпуска до места работы и обратно в случае отзыва работника из отпуска.</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Иных положений, предусматривающих освобождение от налогообложения сумм возмещения работодателем стоимости проезда от места проведения отпуска до места работы и обратно в случае отзыва работника из отпуска, статья 217 Налогового кодекса не содержит.</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С учетом положений статей 41 и 210 Налогового кодекса указанные доходы подлежат обложению налогом на доходы физических лиц в установленном порядке.</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2. Об обложении страховыми взносами</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lastRenderedPageBreak/>
        <w:t>Подпунктом 1 пункта 1 статьи 420 Налогового кодекса определено, что объектом обложения страховыми взносами для организаций признаются выплаты и иные вознаграждения в пользу физических лиц, подлежащих обязательному социальному страхованию в соответствии с федеральными законами о конкретных видах обязательного социального страхования (за исключением вознаграждений, выплачиваемых лицам, указанным в подпункте 2 пункта 1 статьи 419 Налогового кодекса), в частности, в рамках трудовых отношений.</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Исходя из положений пункта 1 статьи 421 Налогового кодекса база для исчисления страховых взносов для организаций определяется по истечении каждого календарного месяца как сумма выплат и иных вознаграждений, предусмотренных пунктом 1 статьи 420 Налогового кодекса, начисленных отдельно в отношении каждого физического лица с начала расчетного периода нарастающим итогом, за исключением сумм, указанных в статье 422 Налогового кодекса, перечень которых является исчерпывающим.</w:t>
      </w:r>
    </w:p>
    <w:p w:rsidR="00231856" w:rsidRPr="00231856" w:rsidRDefault="00231856" w:rsidP="00231856">
      <w:pPr>
        <w:shd w:val="clear" w:color="auto" w:fill="FFFFFF"/>
        <w:spacing w:after="0" w:line="240" w:lineRule="auto"/>
        <w:rPr>
          <w:rFonts w:ascii="Arial" w:eastAsia="Times New Roman" w:hAnsi="Arial" w:cs="Arial"/>
          <w:sz w:val="21"/>
          <w:szCs w:val="21"/>
          <w:lang w:eastAsia="ru-RU"/>
        </w:rPr>
      </w:pPr>
      <w:r w:rsidRPr="00231856">
        <w:rPr>
          <w:rFonts w:ascii="Arial" w:eastAsia="Times New Roman" w:hAnsi="Arial" w:cs="Arial"/>
          <w:sz w:val="21"/>
          <w:szCs w:val="21"/>
          <w:lang w:eastAsia="ru-RU"/>
        </w:rPr>
        <w:t>Учитывая, что статья 422 Налогового кодекса не содержит положений о включении в перечень сумм, не подлежащих обложению страховыми взносами, выплат работнику в виде компенсации стоимости его проезда от места использования отпуска к месту исполнения его служебных обязанностей и обратно к месту использования отпуска в случае отзыва работника из отпуска, указанные выплаты облагаются страховыми взносами на основании подпункта 1 пункта 1 статьи 420 Налогового кодекса как выплаты в рамках трудовых отношений.</w:t>
      </w:r>
    </w:p>
    <w:p w:rsidR="00231856" w:rsidRPr="00231856" w:rsidRDefault="00231856" w:rsidP="00231856">
      <w:pPr>
        <w:shd w:val="clear" w:color="auto" w:fill="FFFFFF"/>
        <w:spacing w:after="0" w:line="240" w:lineRule="auto"/>
        <w:jc w:val="right"/>
        <w:rPr>
          <w:rFonts w:ascii="Arial" w:eastAsia="Times New Roman" w:hAnsi="Arial" w:cs="Arial"/>
          <w:sz w:val="21"/>
          <w:szCs w:val="21"/>
          <w:lang w:eastAsia="ru-RU"/>
        </w:rPr>
      </w:pPr>
      <w:r w:rsidRPr="00231856">
        <w:rPr>
          <w:rFonts w:ascii="Arial" w:eastAsia="Times New Roman" w:hAnsi="Arial" w:cs="Arial"/>
          <w:sz w:val="21"/>
          <w:szCs w:val="21"/>
          <w:lang w:eastAsia="ru-RU"/>
        </w:rPr>
        <w:t>Заместитель директора Департамента</w:t>
      </w:r>
    </w:p>
    <w:p w:rsidR="00231856" w:rsidRPr="00231856" w:rsidRDefault="00231856" w:rsidP="00231856">
      <w:pPr>
        <w:shd w:val="clear" w:color="auto" w:fill="FFFFFF"/>
        <w:spacing w:after="0" w:line="240" w:lineRule="auto"/>
        <w:jc w:val="right"/>
        <w:rPr>
          <w:rFonts w:ascii="Arial" w:eastAsia="Times New Roman" w:hAnsi="Arial" w:cs="Arial"/>
          <w:sz w:val="21"/>
          <w:szCs w:val="21"/>
          <w:lang w:eastAsia="ru-RU"/>
        </w:rPr>
      </w:pPr>
      <w:r w:rsidRPr="00231856">
        <w:rPr>
          <w:rFonts w:ascii="Arial" w:eastAsia="Times New Roman" w:hAnsi="Arial" w:cs="Arial"/>
          <w:sz w:val="21"/>
          <w:szCs w:val="21"/>
          <w:lang w:eastAsia="ru-RU"/>
        </w:rPr>
        <w:t>Р.А.СААКЯН</w:t>
      </w:r>
    </w:p>
    <w:p w:rsidR="00231856" w:rsidRPr="00231856" w:rsidRDefault="00231856" w:rsidP="00231856">
      <w:pPr>
        <w:shd w:val="clear" w:color="auto" w:fill="FFFFFF"/>
        <w:spacing w:after="0" w:line="240" w:lineRule="auto"/>
        <w:jc w:val="right"/>
        <w:rPr>
          <w:rFonts w:ascii="Arial" w:eastAsia="Times New Roman" w:hAnsi="Arial" w:cs="Arial"/>
          <w:sz w:val="21"/>
          <w:szCs w:val="21"/>
          <w:lang w:eastAsia="ru-RU"/>
        </w:rPr>
      </w:pPr>
      <w:r w:rsidRPr="00231856">
        <w:rPr>
          <w:rFonts w:ascii="Arial" w:eastAsia="Times New Roman" w:hAnsi="Arial" w:cs="Arial"/>
          <w:sz w:val="21"/>
          <w:szCs w:val="21"/>
          <w:lang w:eastAsia="ru-RU"/>
        </w:rPr>
        <w:t>21.02.2019</w:t>
      </w:r>
    </w:p>
    <w:p w:rsidR="001D6856" w:rsidRPr="00231856" w:rsidRDefault="00231856"/>
    <w:p w:rsidR="00231856" w:rsidRPr="00231856" w:rsidRDefault="00231856"/>
    <w:sectPr w:rsidR="00231856" w:rsidRPr="00231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04A"/>
    <w:rsid w:val="001C4C09"/>
    <w:rsid w:val="00231856"/>
    <w:rsid w:val="00B55CE1"/>
    <w:rsid w:val="00CE2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24927-1BE4-45DC-94DF-4DE4562A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322864">
      <w:bodyDiv w:val="1"/>
      <w:marLeft w:val="0"/>
      <w:marRight w:val="0"/>
      <w:marTop w:val="0"/>
      <w:marBottom w:val="0"/>
      <w:divBdr>
        <w:top w:val="none" w:sz="0" w:space="0" w:color="auto"/>
        <w:left w:val="none" w:sz="0" w:space="0" w:color="auto"/>
        <w:bottom w:val="none" w:sz="0" w:space="0" w:color="auto"/>
        <w:right w:val="none" w:sz="0" w:space="0" w:color="auto"/>
      </w:divBdr>
      <w:divsChild>
        <w:div w:id="1929996526">
          <w:marLeft w:val="0"/>
          <w:marRight w:val="0"/>
          <w:marTop w:val="0"/>
          <w:marBottom w:val="0"/>
          <w:divBdr>
            <w:top w:val="none" w:sz="0" w:space="0" w:color="auto"/>
            <w:left w:val="none" w:sz="0" w:space="0" w:color="auto"/>
            <w:bottom w:val="none" w:sz="0" w:space="0" w:color="auto"/>
            <w:right w:val="none" w:sz="0" w:space="0" w:color="auto"/>
          </w:divBdr>
        </w:div>
        <w:div w:id="358514390">
          <w:marLeft w:val="0"/>
          <w:marRight w:val="0"/>
          <w:marTop w:val="0"/>
          <w:marBottom w:val="0"/>
          <w:divBdr>
            <w:top w:val="none" w:sz="0" w:space="0" w:color="auto"/>
            <w:left w:val="none" w:sz="0" w:space="0" w:color="auto"/>
            <w:bottom w:val="none" w:sz="0" w:space="0" w:color="auto"/>
            <w:right w:val="none" w:sz="0" w:space="0" w:color="auto"/>
          </w:divBdr>
        </w:div>
        <w:div w:id="2008245567">
          <w:marLeft w:val="0"/>
          <w:marRight w:val="0"/>
          <w:marTop w:val="0"/>
          <w:marBottom w:val="0"/>
          <w:divBdr>
            <w:top w:val="none" w:sz="0" w:space="0" w:color="auto"/>
            <w:left w:val="none" w:sz="0" w:space="0" w:color="auto"/>
            <w:bottom w:val="none" w:sz="0" w:space="0" w:color="auto"/>
            <w:right w:val="none" w:sz="0" w:space="0" w:color="auto"/>
          </w:divBdr>
        </w:div>
        <w:div w:id="1219247239">
          <w:marLeft w:val="0"/>
          <w:marRight w:val="0"/>
          <w:marTop w:val="0"/>
          <w:marBottom w:val="0"/>
          <w:divBdr>
            <w:top w:val="none" w:sz="0" w:space="0" w:color="auto"/>
            <w:left w:val="none" w:sz="0" w:space="0" w:color="auto"/>
            <w:bottom w:val="none" w:sz="0" w:space="0" w:color="auto"/>
            <w:right w:val="none" w:sz="0" w:space="0" w:color="auto"/>
          </w:divBdr>
        </w:div>
        <w:div w:id="365257758">
          <w:marLeft w:val="0"/>
          <w:marRight w:val="0"/>
          <w:marTop w:val="0"/>
          <w:marBottom w:val="0"/>
          <w:divBdr>
            <w:top w:val="none" w:sz="0" w:space="0" w:color="auto"/>
            <w:left w:val="none" w:sz="0" w:space="0" w:color="auto"/>
            <w:bottom w:val="none" w:sz="0" w:space="0" w:color="auto"/>
            <w:right w:val="none" w:sz="0" w:space="0" w:color="auto"/>
          </w:divBdr>
        </w:div>
        <w:div w:id="67770472">
          <w:marLeft w:val="0"/>
          <w:marRight w:val="0"/>
          <w:marTop w:val="0"/>
          <w:marBottom w:val="0"/>
          <w:divBdr>
            <w:top w:val="none" w:sz="0" w:space="0" w:color="auto"/>
            <w:left w:val="none" w:sz="0" w:space="0" w:color="auto"/>
            <w:bottom w:val="none" w:sz="0" w:space="0" w:color="auto"/>
            <w:right w:val="none" w:sz="0" w:space="0" w:color="auto"/>
          </w:divBdr>
        </w:div>
        <w:div w:id="1386756044">
          <w:marLeft w:val="0"/>
          <w:marRight w:val="0"/>
          <w:marTop w:val="0"/>
          <w:marBottom w:val="0"/>
          <w:divBdr>
            <w:top w:val="none" w:sz="0" w:space="0" w:color="auto"/>
            <w:left w:val="none" w:sz="0" w:space="0" w:color="auto"/>
            <w:bottom w:val="none" w:sz="0" w:space="0" w:color="auto"/>
            <w:right w:val="none" w:sz="0" w:space="0" w:color="auto"/>
          </w:divBdr>
        </w:div>
        <w:div w:id="603920789">
          <w:marLeft w:val="0"/>
          <w:marRight w:val="0"/>
          <w:marTop w:val="0"/>
          <w:marBottom w:val="0"/>
          <w:divBdr>
            <w:top w:val="none" w:sz="0" w:space="0" w:color="auto"/>
            <w:left w:val="none" w:sz="0" w:space="0" w:color="auto"/>
            <w:bottom w:val="none" w:sz="0" w:space="0" w:color="auto"/>
            <w:right w:val="none" w:sz="0" w:space="0" w:color="auto"/>
          </w:divBdr>
        </w:div>
        <w:div w:id="78988110">
          <w:marLeft w:val="0"/>
          <w:marRight w:val="0"/>
          <w:marTop w:val="0"/>
          <w:marBottom w:val="0"/>
          <w:divBdr>
            <w:top w:val="none" w:sz="0" w:space="0" w:color="auto"/>
            <w:left w:val="none" w:sz="0" w:space="0" w:color="auto"/>
            <w:bottom w:val="none" w:sz="0" w:space="0" w:color="auto"/>
            <w:right w:val="none" w:sz="0" w:space="0" w:color="auto"/>
          </w:divBdr>
        </w:div>
        <w:div w:id="371733738">
          <w:marLeft w:val="0"/>
          <w:marRight w:val="0"/>
          <w:marTop w:val="0"/>
          <w:marBottom w:val="0"/>
          <w:divBdr>
            <w:top w:val="none" w:sz="0" w:space="0" w:color="auto"/>
            <w:left w:val="none" w:sz="0" w:space="0" w:color="auto"/>
            <w:bottom w:val="none" w:sz="0" w:space="0" w:color="auto"/>
            <w:right w:val="none" w:sz="0" w:space="0" w:color="auto"/>
          </w:divBdr>
        </w:div>
        <w:div w:id="356002368">
          <w:marLeft w:val="0"/>
          <w:marRight w:val="0"/>
          <w:marTop w:val="0"/>
          <w:marBottom w:val="0"/>
          <w:divBdr>
            <w:top w:val="none" w:sz="0" w:space="0" w:color="auto"/>
            <w:left w:val="none" w:sz="0" w:space="0" w:color="auto"/>
            <w:bottom w:val="none" w:sz="0" w:space="0" w:color="auto"/>
            <w:right w:val="none" w:sz="0" w:space="0" w:color="auto"/>
          </w:divBdr>
        </w:div>
        <w:div w:id="1712806981">
          <w:marLeft w:val="0"/>
          <w:marRight w:val="0"/>
          <w:marTop w:val="0"/>
          <w:marBottom w:val="0"/>
          <w:divBdr>
            <w:top w:val="none" w:sz="0" w:space="0" w:color="auto"/>
            <w:left w:val="none" w:sz="0" w:space="0" w:color="auto"/>
            <w:bottom w:val="none" w:sz="0" w:space="0" w:color="auto"/>
            <w:right w:val="none" w:sz="0" w:space="0" w:color="auto"/>
          </w:divBdr>
        </w:div>
        <w:div w:id="1653365631">
          <w:marLeft w:val="0"/>
          <w:marRight w:val="0"/>
          <w:marTop w:val="0"/>
          <w:marBottom w:val="0"/>
          <w:divBdr>
            <w:top w:val="none" w:sz="0" w:space="0" w:color="auto"/>
            <w:left w:val="none" w:sz="0" w:space="0" w:color="auto"/>
            <w:bottom w:val="none" w:sz="0" w:space="0" w:color="auto"/>
            <w:right w:val="none" w:sz="0" w:space="0" w:color="auto"/>
          </w:divBdr>
        </w:div>
        <w:div w:id="1082142090">
          <w:marLeft w:val="0"/>
          <w:marRight w:val="0"/>
          <w:marTop w:val="0"/>
          <w:marBottom w:val="0"/>
          <w:divBdr>
            <w:top w:val="none" w:sz="0" w:space="0" w:color="auto"/>
            <w:left w:val="none" w:sz="0" w:space="0" w:color="auto"/>
            <w:bottom w:val="none" w:sz="0" w:space="0" w:color="auto"/>
            <w:right w:val="none" w:sz="0" w:space="0" w:color="auto"/>
          </w:divBdr>
        </w:div>
        <w:div w:id="378405832">
          <w:marLeft w:val="0"/>
          <w:marRight w:val="0"/>
          <w:marTop w:val="0"/>
          <w:marBottom w:val="0"/>
          <w:divBdr>
            <w:top w:val="none" w:sz="0" w:space="0" w:color="auto"/>
            <w:left w:val="none" w:sz="0" w:space="0" w:color="auto"/>
            <w:bottom w:val="none" w:sz="0" w:space="0" w:color="auto"/>
            <w:right w:val="none" w:sz="0" w:space="0" w:color="auto"/>
          </w:divBdr>
        </w:div>
        <w:div w:id="600459294">
          <w:marLeft w:val="0"/>
          <w:marRight w:val="0"/>
          <w:marTop w:val="0"/>
          <w:marBottom w:val="0"/>
          <w:divBdr>
            <w:top w:val="none" w:sz="0" w:space="0" w:color="auto"/>
            <w:left w:val="none" w:sz="0" w:space="0" w:color="auto"/>
            <w:bottom w:val="none" w:sz="0" w:space="0" w:color="auto"/>
            <w:right w:val="none" w:sz="0" w:space="0" w:color="auto"/>
          </w:divBdr>
        </w:div>
        <w:div w:id="1370446973">
          <w:marLeft w:val="0"/>
          <w:marRight w:val="0"/>
          <w:marTop w:val="0"/>
          <w:marBottom w:val="0"/>
          <w:divBdr>
            <w:top w:val="none" w:sz="0" w:space="0" w:color="auto"/>
            <w:left w:val="none" w:sz="0" w:space="0" w:color="auto"/>
            <w:bottom w:val="none" w:sz="0" w:space="0" w:color="auto"/>
            <w:right w:val="none" w:sz="0" w:space="0" w:color="auto"/>
          </w:divBdr>
        </w:div>
        <w:div w:id="1176193720">
          <w:marLeft w:val="0"/>
          <w:marRight w:val="0"/>
          <w:marTop w:val="0"/>
          <w:marBottom w:val="0"/>
          <w:divBdr>
            <w:top w:val="none" w:sz="0" w:space="0" w:color="auto"/>
            <w:left w:val="none" w:sz="0" w:space="0" w:color="auto"/>
            <w:bottom w:val="none" w:sz="0" w:space="0" w:color="auto"/>
            <w:right w:val="none" w:sz="0" w:space="0" w:color="auto"/>
          </w:divBdr>
        </w:div>
        <w:div w:id="282251">
          <w:marLeft w:val="0"/>
          <w:marRight w:val="0"/>
          <w:marTop w:val="0"/>
          <w:marBottom w:val="0"/>
          <w:divBdr>
            <w:top w:val="none" w:sz="0" w:space="0" w:color="auto"/>
            <w:left w:val="none" w:sz="0" w:space="0" w:color="auto"/>
            <w:bottom w:val="none" w:sz="0" w:space="0" w:color="auto"/>
            <w:right w:val="none" w:sz="0" w:space="0" w:color="auto"/>
          </w:divBdr>
        </w:div>
        <w:div w:id="1239053282">
          <w:marLeft w:val="0"/>
          <w:marRight w:val="0"/>
          <w:marTop w:val="0"/>
          <w:marBottom w:val="0"/>
          <w:divBdr>
            <w:top w:val="none" w:sz="0" w:space="0" w:color="auto"/>
            <w:left w:val="none" w:sz="0" w:space="0" w:color="auto"/>
            <w:bottom w:val="none" w:sz="0" w:space="0" w:color="auto"/>
            <w:right w:val="none" w:sz="0" w:space="0" w:color="auto"/>
          </w:divBdr>
        </w:div>
        <w:div w:id="1103259579">
          <w:marLeft w:val="0"/>
          <w:marRight w:val="0"/>
          <w:marTop w:val="0"/>
          <w:marBottom w:val="0"/>
          <w:divBdr>
            <w:top w:val="none" w:sz="0" w:space="0" w:color="auto"/>
            <w:left w:val="none" w:sz="0" w:space="0" w:color="auto"/>
            <w:bottom w:val="none" w:sz="0" w:space="0" w:color="auto"/>
            <w:right w:val="none" w:sz="0" w:space="0" w:color="auto"/>
          </w:divBdr>
        </w:div>
        <w:div w:id="387581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4814</Characters>
  <Application>Microsoft Office Word</Application>
  <DocSecurity>0</DocSecurity>
  <Lines>40</Lines>
  <Paragraphs>11</Paragraphs>
  <ScaleCrop>false</ScaleCrop>
  <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Марианна Ковалёва</dc:creator>
  <cp:keywords/>
  <dc:description/>
  <cp:lastModifiedBy>Марианна Ковалёва</cp:lastModifiedBy>
  <cp:revision>2</cp:revision>
  <dcterms:created xsi:type="dcterms:W3CDTF">2019-03-22T06:18:00Z</dcterms:created>
  <dcterms:modified xsi:type="dcterms:W3CDTF">2019-03-22T06:18:00Z</dcterms:modified>
</cp:coreProperties>
</file>