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F9" w:rsidRPr="00992CF9" w:rsidRDefault="00992CF9" w:rsidP="00992CF9">
      <w:pPr>
        <w:rPr>
          <w:rFonts w:ascii="Arial" w:hAnsi="Arial" w:cs="Arial"/>
          <w:color w:val="555555"/>
          <w:szCs w:val="17"/>
        </w:rPr>
      </w:pPr>
      <w:r w:rsidRPr="00992CF9">
        <w:rPr>
          <w:rFonts w:ascii="Arial" w:hAnsi="Arial" w:cs="Arial"/>
          <w:color w:val="555555"/>
          <w:szCs w:val="17"/>
        </w:rPr>
        <w:fldChar w:fldCharType="begin"/>
      </w:r>
      <w:r w:rsidRPr="00992CF9">
        <w:rPr>
          <w:rFonts w:ascii="Arial" w:hAnsi="Arial" w:cs="Arial"/>
          <w:color w:val="555555"/>
          <w:szCs w:val="17"/>
        </w:rPr>
        <w:instrText xml:space="preserve"> HYPERLINK "https://uganskray--hmao.sudrf.ru/modules.php?name=sud_delo&amp;name_op=r_juid&amp;vnkod=86RS0007&amp;srv_num=1&amp;delo_id=1540005&amp;case_type=0&amp;judicial_uid=86RS0007-01-2020-004998-11" </w:instrText>
      </w:r>
      <w:r w:rsidRPr="00992CF9">
        <w:rPr>
          <w:rFonts w:ascii="Arial" w:hAnsi="Arial" w:cs="Arial"/>
          <w:color w:val="555555"/>
          <w:szCs w:val="17"/>
        </w:rPr>
        <w:fldChar w:fldCharType="separate"/>
      </w:r>
      <w:r w:rsidRPr="00992CF9">
        <w:rPr>
          <w:color w:val="006699"/>
          <w:sz w:val="24"/>
          <w:szCs w:val="18"/>
        </w:rPr>
        <w:br/>
      </w:r>
      <w:r w:rsidRPr="00992CF9">
        <w:rPr>
          <w:rStyle w:val="a4"/>
          <w:color w:val="006699"/>
          <w:sz w:val="24"/>
          <w:szCs w:val="18"/>
        </w:rPr>
        <w:t>86RS00</w:t>
      </w:r>
      <w:r w:rsidRPr="00992CF9">
        <w:rPr>
          <w:rStyle w:val="a4"/>
          <w:color w:val="006699"/>
          <w:sz w:val="24"/>
          <w:szCs w:val="18"/>
        </w:rPr>
        <w:t>0</w:t>
      </w:r>
      <w:r w:rsidRPr="00992CF9">
        <w:rPr>
          <w:rStyle w:val="a4"/>
          <w:color w:val="006699"/>
          <w:sz w:val="24"/>
          <w:szCs w:val="18"/>
        </w:rPr>
        <w:t>7-01-2020-004998-11</w:t>
      </w:r>
      <w:r w:rsidRPr="00992CF9">
        <w:rPr>
          <w:rFonts w:ascii="Arial" w:hAnsi="Arial" w:cs="Arial"/>
          <w:color w:val="555555"/>
          <w:szCs w:val="17"/>
        </w:rPr>
        <w:fldChar w:fldCharType="end"/>
      </w:r>
    </w:p>
    <w:p w:rsidR="00992CF9" w:rsidRDefault="00992CF9" w:rsidP="00992CF9">
      <w:pPr>
        <w:pStyle w:val="a3"/>
        <w:shd w:val="clear" w:color="auto" w:fill="FFFFFF"/>
        <w:spacing w:before="0" w:beforeAutospacing="0" w:after="0" w:afterAutospacing="0"/>
        <w:ind w:firstLine="720"/>
        <w:jc w:val="right"/>
        <w:rPr>
          <w:rFonts w:ascii="Arial" w:hAnsi="Arial" w:cs="Arial"/>
          <w:color w:val="000000"/>
          <w:szCs w:val="17"/>
        </w:rPr>
      </w:pPr>
    </w:p>
    <w:p w:rsidR="00992CF9" w:rsidRPr="00992CF9" w:rsidRDefault="00992CF9" w:rsidP="00992CF9">
      <w:pPr>
        <w:pStyle w:val="a3"/>
        <w:shd w:val="clear" w:color="auto" w:fill="FFFFFF"/>
        <w:spacing w:before="0" w:beforeAutospacing="0" w:after="0" w:afterAutospacing="0"/>
        <w:ind w:firstLine="720"/>
        <w:jc w:val="right"/>
        <w:rPr>
          <w:rFonts w:ascii="Arial" w:hAnsi="Arial" w:cs="Arial"/>
          <w:color w:val="000000"/>
          <w:szCs w:val="17"/>
        </w:rPr>
      </w:pPr>
      <w:bookmarkStart w:id="0" w:name="_GoBack"/>
      <w:r w:rsidRPr="00992CF9">
        <w:rPr>
          <w:rFonts w:ascii="Arial" w:hAnsi="Arial" w:cs="Arial"/>
          <w:color w:val="000000"/>
          <w:szCs w:val="17"/>
        </w:rPr>
        <w:t>Дело № 2-2687/2020</w:t>
      </w:r>
    </w:p>
    <w:bookmarkEnd w:id="0"/>
    <w:p w:rsidR="00992CF9" w:rsidRPr="00992CF9" w:rsidRDefault="00992CF9" w:rsidP="00992CF9">
      <w:pPr>
        <w:pStyle w:val="a3"/>
        <w:shd w:val="clear" w:color="auto" w:fill="FFFFFF"/>
        <w:spacing w:before="0" w:beforeAutospacing="0" w:after="0" w:afterAutospacing="0"/>
        <w:ind w:firstLine="720"/>
        <w:jc w:val="right"/>
        <w:rPr>
          <w:rFonts w:ascii="Arial" w:hAnsi="Arial" w:cs="Arial"/>
          <w:color w:val="000000"/>
          <w:szCs w:val="17"/>
        </w:rPr>
      </w:pPr>
      <w:r w:rsidRPr="00992CF9">
        <w:rPr>
          <w:rFonts w:ascii="Arial" w:hAnsi="Arial" w:cs="Arial"/>
          <w:color w:val="000000"/>
          <w:szCs w:val="17"/>
        </w:rPr>
        <w:t>УИД 86RS0</w:t>
      </w:r>
      <w:r w:rsidRPr="00992CF9">
        <w:rPr>
          <w:rStyle w:val="nomer2"/>
          <w:rFonts w:ascii="Arial" w:hAnsi="Arial" w:cs="Arial"/>
          <w:color w:val="000000"/>
          <w:szCs w:val="17"/>
        </w:rPr>
        <w:t>№</w:t>
      </w:r>
      <w:r w:rsidRPr="00992CF9">
        <w:rPr>
          <w:rFonts w:ascii="Arial" w:hAnsi="Arial" w:cs="Arial"/>
          <w:color w:val="000000"/>
          <w:szCs w:val="17"/>
        </w:rPr>
        <w:t>-11</w:t>
      </w:r>
    </w:p>
    <w:p w:rsidR="00992CF9" w:rsidRPr="00992CF9" w:rsidRDefault="00992CF9" w:rsidP="00992CF9">
      <w:pPr>
        <w:pStyle w:val="a3"/>
        <w:shd w:val="clear" w:color="auto" w:fill="FFFFFF"/>
        <w:spacing w:before="0" w:beforeAutospacing="0" w:after="0" w:afterAutospacing="0"/>
        <w:ind w:firstLine="720"/>
        <w:jc w:val="center"/>
        <w:rPr>
          <w:rFonts w:ascii="Arial" w:hAnsi="Arial" w:cs="Arial"/>
          <w:color w:val="000000"/>
          <w:szCs w:val="17"/>
        </w:rPr>
      </w:pPr>
      <w:r w:rsidRPr="00992CF9">
        <w:rPr>
          <w:rFonts w:ascii="Arial" w:hAnsi="Arial" w:cs="Arial"/>
          <w:color w:val="000000"/>
          <w:szCs w:val="17"/>
        </w:rPr>
        <w:t>РЕШЕНИЕ</w:t>
      </w:r>
    </w:p>
    <w:p w:rsidR="00992CF9" w:rsidRPr="00992CF9" w:rsidRDefault="00992CF9" w:rsidP="00992CF9">
      <w:pPr>
        <w:pStyle w:val="a3"/>
        <w:shd w:val="clear" w:color="auto" w:fill="FFFFFF"/>
        <w:spacing w:before="0" w:beforeAutospacing="0" w:after="0" w:afterAutospacing="0"/>
        <w:ind w:firstLine="720"/>
        <w:jc w:val="center"/>
        <w:rPr>
          <w:rFonts w:ascii="Arial" w:hAnsi="Arial" w:cs="Arial"/>
          <w:color w:val="000000"/>
          <w:szCs w:val="17"/>
        </w:rPr>
      </w:pPr>
      <w:r w:rsidRPr="00992CF9">
        <w:rPr>
          <w:rFonts w:ascii="Arial" w:hAnsi="Arial" w:cs="Arial"/>
          <w:color w:val="000000"/>
          <w:szCs w:val="17"/>
        </w:rPr>
        <w:t>Именем Российской Федерации</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24 ноября 2020 года                                 </w:t>
      </w:r>
      <w:proofErr w:type="spellStart"/>
      <w:r w:rsidRPr="00992CF9">
        <w:rPr>
          <w:rFonts w:ascii="Arial" w:hAnsi="Arial" w:cs="Arial"/>
          <w:color w:val="000000"/>
          <w:szCs w:val="17"/>
        </w:rPr>
        <w:t>г.Нефтеюганск</w:t>
      </w:r>
      <w:proofErr w:type="spellEnd"/>
      <w:r w:rsidRPr="00992CF9">
        <w:rPr>
          <w:rFonts w:ascii="Arial" w:hAnsi="Arial" w:cs="Arial"/>
          <w:color w:val="000000"/>
          <w:szCs w:val="17"/>
        </w:rPr>
        <w:t>.</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Нефтеюганский районный суд Ханты-Мансийского автономного округа-Югры в составе председательствующего судьи Фоменко И.И., при ведении протокола судебного заседания помощником судьи Харченко Н.Н., с участием представителя процессуального истца – Дудник Н.А., представителя третьего лица – </w:t>
      </w:r>
      <w:proofErr w:type="spellStart"/>
      <w:r w:rsidRPr="00992CF9">
        <w:rPr>
          <w:rFonts w:ascii="Arial" w:hAnsi="Arial" w:cs="Arial"/>
          <w:color w:val="000000"/>
          <w:szCs w:val="17"/>
        </w:rPr>
        <w:t>Каранаевой</w:t>
      </w:r>
      <w:proofErr w:type="spellEnd"/>
      <w:r w:rsidRPr="00992CF9">
        <w:rPr>
          <w:rFonts w:ascii="Arial" w:hAnsi="Arial" w:cs="Arial"/>
          <w:color w:val="000000"/>
          <w:szCs w:val="17"/>
        </w:rPr>
        <w:t xml:space="preserve"> А.А., представителя ответчика – Бас О.В., рассмотрев в открытом судебном заседании гражданское дело по искам Нефтеюганского межрайонного прокурора в защиту интересов Российской Федерации и </w:t>
      </w:r>
      <w:proofErr w:type="spellStart"/>
      <w:r w:rsidRPr="00992CF9">
        <w:rPr>
          <w:rFonts w:ascii="Arial" w:hAnsi="Arial" w:cs="Arial"/>
          <w:color w:val="000000"/>
          <w:szCs w:val="17"/>
        </w:rPr>
        <w:t>неопредёленного</w:t>
      </w:r>
      <w:proofErr w:type="spellEnd"/>
      <w:r w:rsidRPr="00992CF9">
        <w:rPr>
          <w:rFonts w:ascii="Arial" w:hAnsi="Arial" w:cs="Arial"/>
          <w:color w:val="000000"/>
          <w:szCs w:val="17"/>
        </w:rPr>
        <w:t xml:space="preserve"> круга лиц к Обществу с ограниченной ответственностью «РН-</w:t>
      </w:r>
      <w:proofErr w:type="spellStart"/>
      <w:r w:rsidRPr="00992CF9">
        <w:rPr>
          <w:rFonts w:ascii="Arial" w:hAnsi="Arial" w:cs="Arial"/>
          <w:color w:val="000000"/>
          <w:szCs w:val="17"/>
        </w:rPr>
        <w:t>Юганскнефтегаз</w:t>
      </w:r>
      <w:proofErr w:type="spellEnd"/>
      <w:r w:rsidRPr="00992CF9">
        <w:rPr>
          <w:rFonts w:ascii="Arial" w:hAnsi="Arial" w:cs="Arial"/>
          <w:color w:val="000000"/>
          <w:szCs w:val="17"/>
        </w:rPr>
        <w:t>» о понуждении к рекультивации загрязненных лесных участков,</w:t>
      </w:r>
    </w:p>
    <w:p w:rsidR="00992CF9" w:rsidRPr="00992CF9" w:rsidRDefault="00992CF9" w:rsidP="00992CF9">
      <w:pPr>
        <w:pStyle w:val="a3"/>
        <w:shd w:val="clear" w:color="auto" w:fill="FFFFFF"/>
        <w:spacing w:before="0" w:beforeAutospacing="0" w:after="0" w:afterAutospacing="0"/>
        <w:ind w:firstLine="720"/>
        <w:jc w:val="center"/>
        <w:rPr>
          <w:rFonts w:ascii="Arial" w:hAnsi="Arial" w:cs="Arial"/>
          <w:color w:val="000000"/>
          <w:szCs w:val="17"/>
        </w:rPr>
      </w:pPr>
      <w:r w:rsidRPr="00992CF9">
        <w:rPr>
          <w:rFonts w:ascii="Arial" w:hAnsi="Arial" w:cs="Arial"/>
          <w:color w:val="000000"/>
          <w:szCs w:val="17"/>
        </w:rPr>
        <w:t>установил:</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Нефтеюганский межрайонный прокурор обратился в суд с исками, объединенными в одно производство, в которых просит обязать ООО «РН-</w:t>
      </w:r>
      <w:proofErr w:type="spellStart"/>
      <w:r w:rsidRPr="00992CF9">
        <w:rPr>
          <w:rFonts w:ascii="Arial" w:hAnsi="Arial" w:cs="Arial"/>
          <w:color w:val="000000"/>
          <w:szCs w:val="17"/>
        </w:rPr>
        <w:t>Юганскнефтегаз</w:t>
      </w:r>
      <w:proofErr w:type="spellEnd"/>
      <w:r w:rsidRPr="00992CF9">
        <w:rPr>
          <w:rFonts w:ascii="Arial" w:hAnsi="Arial" w:cs="Arial"/>
          <w:color w:val="000000"/>
          <w:szCs w:val="17"/>
        </w:rPr>
        <w:t>» (далее также - Общество) в течение шести месяцев с момента вступления решения суда в законную силу разработать проекты рекультивации следующих лесных участков:</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30, 39, 111, 123 квартала 65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60°47&amp;apos;12,5" Е 72°49&amp;apos;07,9"), площадью 0,6168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17, 81 квартала 120 Нефтеюганского урочища Нефтеюганского участкового лесничества Нефтеюганского территориального отдела - лесничества в районе КНС 20 Мамонтовского месторождения (координаты в системе WGS84: N 60°44&amp;apos;07,1" Е 72°59&amp;apos;14,4"), площадью 0,1211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91, 93, 112 квартала 156 Нефтеюганского урочища Нефтеюганского участкового лесничества Нефтеюганского территориального отдела - лесничества в районе куста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60°42&amp;apos;30,9" Е 72°03&amp;apos;16,9"), площадью 0,115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выделе 78 квартала 120 Нефтеюганского урочища Нефтеюганского участкового лесничества Нефтеюганского территориального отдела - лесничества в районе кастовой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60°43&amp;apos;17,4" Е 72°56&amp;apos;41,5"), площадью 0,5407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39, 45, 46, 107, 108, 116, 117 квартала 155, в выделе 25 квартала 156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60°41&amp;apos;44,1" Е 73°03&amp;apos;06,6"), площадью 8,285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37, 38, 104, 107, 115 квартала 155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60°41&amp;apos;39,2" Е 73°02&amp;apos;51,2"), площадью 3,693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lastRenderedPageBreak/>
        <w:t>- в выделах 89, 90, 93 квартала 78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а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w:t>
      </w:r>
      <w:proofErr w:type="spellStart"/>
      <w:r w:rsidRPr="00992CF9">
        <w:rPr>
          <w:rFonts w:ascii="Arial" w:hAnsi="Arial" w:cs="Arial"/>
          <w:color w:val="000000"/>
          <w:szCs w:val="17"/>
        </w:rPr>
        <w:t>с.ш</w:t>
      </w:r>
      <w:proofErr w:type="spellEnd"/>
      <w:r w:rsidRPr="00992CF9">
        <w:rPr>
          <w:rFonts w:ascii="Arial" w:hAnsi="Arial" w:cs="Arial"/>
          <w:color w:val="000000"/>
          <w:szCs w:val="17"/>
        </w:rPr>
        <w:t>. 60°29&amp;apos; 53" в.</w:t>
      </w:r>
      <w:r w:rsidRPr="00992CF9">
        <w:rPr>
          <w:rStyle w:val="address2"/>
          <w:rFonts w:ascii="Arial" w:hAnsi="Arial" w:cs="Arial"/>
          <w:color w:val="000000"/>
          <w:szCs w:val="17"/>
        </w:rPr>
        <w:t>(адрес)</w:t>
      </w:r>
      <w:r w:rsidRPr="00992CF9">
        <w:rPr>
          <w:rFonts w:ascii="Arial" w:hAnsi="Arial" w:cs="Arial"/>
          <w:color w:val="000000"/>
          <w:szCs w:val="17"/>
        </w:rPr>
        <w:t>°15&amp;apos;05,4"), площадью 0,8814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72, 120 квартала 77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б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60°29&amp;apos;49,9" Е 72°14&amp;apos;41,6"), площадью 0,306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выделе 76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ДНС-2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60°27&amp;apos;51,6" Е 72°19&amp;apos;20,7"), площадью 0,4252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44, 64, 66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60°27&amp;apos;28,1" Е 72°18&amp;apos;11,5"), площадью 1,764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44, 64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площадке </w:t>
      </w:r>
      <w:r w:rsidRPr="00992CF9">
        <w:rPr>
          <w:rStyle w:val="nomer2"/>
          <w:rFonts w:ascii="Arial" w:hAnsi="Arial" w:cs="Arial"/>
          <w:color w:val="000000"/>
          <w:szCs w:val="17"/>
        </w:rPr>
        <w:t>№</w:t>
      </w:r>
      <w:r w:rsidRPr="00992CF9">
        <w:rPr>
          <w:rFonts w:ascii="Arial" w:hAnsi="Arial" w:cs="Arial"/>
          <w:color w:val="000000"/>
          <w:szCs w:val="17"/>
        </w:rPr>
        <w:t>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60°27&amp;apos;33,2" Е 72°18&amp;apos;19,7"), площадью 0,117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Также процессуальный истец </w:t>
      </w:r>
      <w:r w:rsidRPr="00992CF9">
        <w:rPr>
          <w:rFonts w:ascii="Arial" w:hAnsi="Arial" w:cs="Arial"/>
          <w:color w:val="5B9BD5" w:themeColor="accent1"/>
          <w:szCs w:val="17"/>
        </w:rPr>
        <w:t xml:space="preserve">просит обязать ответчика восстановить естественное состояние указанных </w:t>
      </w:r>
      <w:proofErr w:type="spellStart"/>
      <w:r w:rsidRPr="00992CF9">
        <w:rPr>
          <w:rFonts w:ascii="Arial" w:hAnsi="Arial" w:cs="Arial"/>
          <w:color w:val="5B9BD5" w:themeColor="accent1"/>
          <w:szCs w:val="17"/>
        </w:rPr>
        <w:t>нефтезагрязненных</w:t>
      </w:r>
      <w:proofErr w:type="spellEnd"/>
      <w:r w:rsidRPr="00992CF9">
        <w:rPr>
          <w:rFonts w:ascii="Arial" w:hAnsi="Arial" w:cs="Arial"/>
          <w:color w:val="5B9BD5" w:themeColor="accent1"/>
          <w:szCs w:val="17"/>
        </w:rPr>
        <w:t xml:space="preserve"> лесных участков путем проведения </w:t>
      </w:r>
      <w:proofErr w:type="spellStart"/>
      <w:r w:rsidRPr="00992CF9">
        <w:rPr>
          <w:rFonts w:ascii="Arial" w:hAnsi="Arial" w:cs="Arial"/>
          <w:color w:val="5B9BD5" w:themeColor="accent1"/>
          <w:szCs w:val="17"/>
        </w:rPr>
        <w:t>рекультивационных</w:t>
      </w:r>
      <w:proofErr w:type="spellEnd"/>
      <w:r w:rsidRPr="00992CF9">
        <w:rPr>
          <w:rFonts w:ascii="Arial" w:hAnsi="Arial" w:cs="Arial"/>
          <w:color w:val="5B9BD5" w:themeColor="accent1"/>
          <w:szCs w:val="17"/>
        </w:rPr>
        <w:t xml:space="preserve"> работ на основании проектов рекультивации земель, разработанных, согласованных </w:t>
      </w:r>
      <w:r w:rsidRPr="00992CF9">
        <w:rPr>
          <w:rFonts w:ascii="Arial" w:hAnsi="Arial" w:cs="Arial"/>
          <w:color w:val="000000"/>
          <w:szCs w:val="17"/>
        </w:rPr>
        <w:t>и утвержденных в порядке, предусмотренном Правилами проведения рекультивации и консервации земель, утвержденными постановлением Правительства РФ от </w:t>
      </w:r>
      <w:r w:rsidRPr="00992CF9">
        <w:rPr>
          <w:rStyle w:val="data2"/>
          <w:rFonts w:ascii="Arial" w:hAnsi="Arial" w:cs="Arial"/>
          <w:color w:val="000000"/>
          <w:szCs w:val="17"/>
        </w:rPr>
        <w:t>(дата)</w:t>
      </w:r>
      <w:r w:rsidRPr="00992CF9">
        <w:rPr>
          <w:rFonts w:ascii="Arial" w:hAnsi="Arial" w:cs="Arial"/>
          <w:color w:val="000000"/>
          <w:szCs w:val="17"/>
        </w:rPr>
        <w:t> </w:t>
      </w:r>
      <w:r w:rsidRPr="00992CF9">
        <w:rPr>
          <w:rStyle w:val="nomer2"/>
          <w:rFonts w:ascii="Arial" w:hAnsi="Arial" w:cs="Arial"/>
          <w:color w:val="000000"/>
          <w:szCs w:val="17"/>
        </w:rPr>
        <w:t>№</w:t>
      </w:r>
      <w:r w:rsidRPr="00992CF9">
        <w:rPr>
          <w:rFonts w:ascii="Arial" w:hAnsi="Arial" w:cs="Arial"/>
          <w:color w:val="000000"/>
          <w:szCs w:val="17"/>
        </w:rPr>
        <w:t>.</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5B9BD5" w:themeColor="accent1"/>
          <w:szCs w:val="17"/>
        </w:rPr>
      </w:pPr>
      <w:r w:rsidRPr="00992CF9">
        <w:rPr>
          <w:rFonts w:ascii="Arial" w:hAnsi="Arial" w:cs="Arial"/>
          <w:color w:val="000000"/>
          <w:szCs w:val="17"/>
        </w:rPr>
        <w:t xml:space="preserve">Свои требования прокурор мотивировал тем, что </w:t>
      </w:r>
      <w:r w:rsidRPr="00992CF9">
        <w:rPr>
          <w:rFonts w:ascii="Arial" w:hAnsi="Arial" w:cs="Arial"/>
          <w:color w:val="5B9BD5" w:themeColor="accent1"/>
          <w:szCs w:val="17"/>
        </w:rPr>
        <w:t xml:space="preserve">при проведении в отношении Общества проверок установлено загрязнение ответчиком спорных участков земель лесного фонда разливом </w:t>
      </w:r>
      <w:r w:rsidRPr="00992CF9">
        <w:rPr>
          <w:rFonts w:ascii="Arial" w:hAnsi="Arial" w:cs="Arial"/>
          <w:color w:val="5B9BD5" w:themeColor="accent1"/>
          <w:szCs w:val="17"/>
          <w:highlight w:val="yellow"/>
        </w:rPr>
        <w:t>нефтесодержащей жидкости</w:t>
      </w:r>
      <w:r w:rsidRPr="00992CF9">
        <w:rPr>
          <w:rFonts w:ascii="Arial" w:hAnsi="Arial" w:cs="Arial"/>
          <w:color w:val="5B9BD5" w:themeColor="accent1"/>
          <w:szCs w:val="17"/>
        </w:rPr>
        <w:t xml:space="preserve"> в результате инцидентов на нефтепроводах.</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Факт наличия в жидкости нефтепродуктов с превышением концентрации загрязняющих веществ подтвержден результатами лабораторных исследований </w:t>
      </w:r>
      <w:proofErr w:type="spellStart"/>
      <w:r w:rsidRPr="00992CF9">
        <w:rPr>
          <w:rFonts w:ascii="Arial" w:hAnsi="Arial" w:cs="Arial"/>
          <w:color w:val="000000"/>
          <w:szCs w:val="17"/>
        </w:rPr>
        <w:t>Сургутского</w:t>
      </w:r>
      <w:proofErr w:type="spellEnd"/>
      <w:r w:rsidRPr="00992CF9">
        <w:rPr>
          <w:rFonts w:ascii="Arial" w:hAnsi="Arial" w:cs="Arial"/>
          <w:color w:val="000000"/>
          <w:szCs w:val="17"/>
        </w:rPr>
        <w:t xml:space="preserve"> отдела ФГБУ «ЦЛАТИ по УФО» по ХМАО - Югре.</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В результате обследований специалистами </w:t>
      </w:r>
      <w:proofErr w:type="spellStart"/>
      <w:r w:rsidRPr="00992CF9">
        <w:rPr>
          <w:rFonts w:ascii="Arial" w:hAnsi="Arial" w:cs="Arial"/>
          <w:color w:val="000000"/>
          <w:szCs w:val="17"/>
        </w:rPr>
        <w:t>Природнадзора</w:t>
      </w:r>
      <w:proofErr w:type="spellEnd"/>
      <w:r w:rsidRPr="00992CF9">
        <w:rPr>
          <w:rFonts w:ascii="Arial" w:hAnsi="Arial" w:cs="Arial"/>
          <w:color w:val="000000"/>
          <w:szCs w:val="17"/>
        </w:rPr>
        <w:t xml:space="preserve"> Югры установлено, что </w:t>
      </w:r>
      <w:proofErr w:type="spellStart"/>
      <w:r w:rsidRPr="00992CF9">
        <w:rPr>
          <w:rFonts w:ascii="Arial" w:hAnsi="Arial" w:cs="Arial"/>
          <w:color w:val="000000"/>
          <w:szCs w:val="17"/>
        </w:rPr>
        <w:t>рекультивационно</w:t>
      </w:r>
      <w:proofErr w:type="spellEnd"/>
      <w:r w:rsidRPr="00992CF9">
        <w:rPr>
          <w:rFonts w:ascii="Arial" w:hAnsi="Arial" w:cs="Arial"/>
          <w:color w:val="000000"/>
          <w:szCs w:val="17"/>
        </w:rPr>
        <w:t>-восстановительные работы Обществом не проведены, проекты рекультивации не разработаны, что создает угрозу причинения существенного вреда окружающей среде и нарушает конституционные права граждан на благоприятную окружающую среду.</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В судебном заседании помощник прокурора, заявленные требования вновь поддержала, обосновав доводами, изложенными в исковом заявлении.</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Представитель третьего лица на стороне истца – Службы по контролю и надзору в сфере охраны окружающей среды, объектов животного мира и лесных отношений ХМАО – Югры (далее - </w:t>
      </w:r>
      <w:proofErr w:type="spellStart"/>
      <w:r w:rsidRPr="00992CF9">
        <w:rPr>
          <w:rFonts w:ascii="Arial" w:hAnsi="Arial" w:cs="Arial"/>
          <w:color w:val="000000"/>
          <w:szCs w:val="17"/>
        </w:rPr>
        <w:t>Природнадзор</w:t>
      </w:r>
      <w:proofErr w:type="spellEnd"/>
      <w:r w:rsidRPr="00992CF9">
        <w:rPr>
          <w:rFonts w:ascii="Arial" w:hAnsi="Arial" w:cs="Arial"/>
          <w:color w:val="000000"/>
          <w:szCs w:val="17"/>
        </w:rPr>
        <w:t xml:space="preserve"> Югры) в судебном заседании исковые требования также поддержала, находя заявленный прокурором срок достаточным.</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Представитель ответчика в судебном заседании с иском не согласилась по доводам письменных возражений, приобщенных к материалам дела.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Заслушав представителей сторон, исследовав материалы дела, суд приходит к следующему.</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Согласно статье 1064 Гражданского кодекса РФ по общему правилу вред, причиненный имуществу юридического лица, подлежит возмещению в полном объеме лицом, причинившим вред. Общими условиями применения гражданско-</w:t>
      </w:r>
      <w:r w:rsidRPr="00992CF9">
        <w:rPr>
          <w:rFonts w:ascii="Arial" w:hAnsi="Arial" w:cs="Arial"/>
          <w:color w:val="000000"/>
          <w:szCs w:val="17"/>
        </w:rPr>
        <w:lastRenderedPageBreak/>
        <w:t xml:space="preserve">правовой ответственности являются наличие состава правонарушения, включающего противоправное поведение </w:t>
      </w:r>
      <w:proofErr w:type="spellStart"/>
      <w:r w:rsidRPr="00992CF9">
        <w:rPr>
          <w:rFonts w:ascii="Arial" w:hAnsi="Arial" w:cs="Arial"/>
          <w:color w:val="000000"/>
          <w:szCs w:val="17"/>
        </w:rPr>
        <w:t>причинителя</w:t>
      </w:r>
      <w:proofErr w:type="spellEnd"/>
      <w:r w:rsidRPr="00992CF9">
        <w:rPr>
          <w:rFonts w:ascii="Arial" w:hAnsi="Arial" w:cs="Arial"/>
          <w:color w:val="000000"/>
          <w:szCs w:val="17"/>
        </w:rPr>
        <w:t xml:space="preserve"> вреда, наступление вреда, наличие причинной связи с противоправным поведением </w:t>
      </w:r>
      <w:proofErr w:type="spellStart"/>
      <w:r w:rsidRPr="00992CF9">
        <w:rPr>
          <w:rFonts w:ascii="Arial" w:hAnsi="Arial" w:cs="Arial"/>
          <w:color w:val="000000"/>
          <w:szCs w:val="17"/>
        </w:rPr>
        <w:t>причинителя</w:t>
      </w:r>
      <w:proofErr w:type="spellEnd"/>
      <w:r w:rsidRPr="00992CF9">
        <w:rPr>
          <w:rFonts w:ascii="Arial" w:hAnsi="Arial" w:cs="Arial"/>
          <w:color w:val="000000"/>
          <w:szCs w:val="17"/>
        </w:rPr>
        <w:t xml:space="preserve"> вреда, а также его вины.</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В силу статьи 1079 Гражданского кодекса РФ юридические лица и граждане, деятельность которых связана с повышенной опасностью для окружающих,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Статьей 1082 Гражданского кодекса РФ установлено, что способом возмещения вреда является возмещение вреда в натуре (предоставление вещи того же рода и качества, исправление поврежденной вещи и т.п.) или возмещение причиненных убытков.</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Как установлено в судебном заседании, </w:t>
      </w:r>
      <w:proofErr w:type="spellStart"/>
      <w:r w:rsidRPr="00992CF9">
        <w:rPr>
          <w:rFonts w:ascii="Arial" w:hAnsi="Arial" w:cs="Arial"/>
          <w:color w:val="000000"/>
          <w:szCs w:val="17"/>
        </w:rPr>
        <w:t>Нефтеюганской</w:t>
      </w:r>
      <w:proofErr w:type="spellEnd"/>
      <w:r w:rsidRPr="00992CF9">
        <w:rPr>
          <w:rFonts w:ascii="Arial" w:hAnsi="Arial" w:cs="Arial"/>
          <w:color w:val="000000"/>
          <w:szCs w:val="17"/>
        </w:rPr>
        <w:t xml:space="preserve"> межрайонной прокуратурой проведена проверка соблюдения Обществом требований природоохранного законодательства, в рамках которой </w:t>
      </w:r>
      <w:r w:rsidRPr="00992CF9">
        <w:rPr>
          <w:rFonts w:ascii="Arial" w:hAnsi="Arial" w:cs="Arial"/>
          <w:color w:val="5B9BD5" w:themeColor="accent1"/>
          <w:szCs w:val="17"/>
        </w:rPr>
        <w:t xml:space="preserve">установлены факты загрязнений указанных в описательной части </w:t>
      </w:r>
      <w:r w:rsidRPr="00992CF9">
        <w:rPr>
          <w:rFonts w:ascii="Arial" w:hAnsi="Arial" w:cs="Arial"/>
          <w:color w:val="000000"/>
          <w:szCs w:val="17"/>
        </w:rPr>
        <w:t>настоящего решения участков лесного фонда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и Нефтеюганского урочищ Нефтеюганского участкового лесничества Нефтеюганского лесничества, </w:t>
      </w:r>
      <w:r w:rsidRPr="00992CF9">
        <w:rPr>
          <w:rFonts w:ascii="Arial" w:hAnsi="Arial" w:cs="Arial"/>
          <w:color w:val="5B9BD5" w:themeColor="accent1"/>
          <w:szCs w:val="17"/>
        </w:rPr>
        <w:t xml:space="preserve">нефтесодержащей жидкостью, произошедших в период с 2016 по 2019 </w:t>
      </w:r>
      <w:proofErr w:type="spellStart"/>
      <w:r w:rsidRPr="00992CF9">
        <w:rPr>
          <w:rFonts w:ascii="Arial" w:hAnsi="Arial" w:cs="Arial"/>
          <w:color w:val="5B9BD5" w:themeColor="accent1"/>
          <w:szCs w:val="17"/>
        </w:rPr>
        <w:t>г.г</w:t>
      </w:r>
      <w:proofErr w:type="spellEnd"/>
      <w:r w:rsidRPr="00992CF9">
        <w:rPr>
          <w:rFonts w:ascii="Arial" w:hAnsi="Arial" w:cs="Arial"/>
          <w:color w:val="5B9BD5" w:themeColor="accent1"/>
          <w:szCs w:val="17"/>
        </w:rPr>
        <w:t xml:space="preserve">. в результате инцидентов на </w:t>
      </w:r>
      <w:proofErr w:type="spellStart"/>
      <w:r w:rsidRPr="00992CF9">
        <w:rPr>
          <w:rFonts w:ascii="Arial" w:hAnsi="Arial" w:cs="Arial"/>
          <w:color w:val="5B9BD5" w:themeColor="accent1"/>
          <w:szCs w:val="17"/>
        </w:rPr>
        <w:t>нефте</w:t>
      </w:r>
      <w:proofErr w:type="spellEnd"/>
      <w:r w:rsidRPr="00992CF9">
        <w:rPr>
          <w:rFonts w:ascii="Arial" w:hAnsi="Arial" w:cs="Arial"/>
          <w:color w:val="5B9BD5" w:themeColor="accent1"/>
          <w:szCs w:val="17"/>
        </w:rPr>
        <w:t xml:space="preserve">/водопроводах </w:t>
      </w:r>
      <w:r w:rsidRPr="00992CF9">
        <w:rPr>
          <w:rFonts w:ascii="Arial" w:hAnsi="Arial" w:cs="Arial"/>
          <w:color w:val="000000"/>
          <w:szCs w:val="17"/>
        </w:rPr>
        <w:t>Мамонтовского и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месторождений нефти, находящихся в пользовании Общества.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Факт загрязнения рассматриваемых лесных участков нефтесодержащей жидкостью в заявленных прокурором объемах Обществом не оспаривается, а также подтверждаются представленными в материалы дела: распоряжениями </w:t>
      </w:r>
      <w:proofErr w:type="spellStart"/>
      <w:r w:rsidRPr="00992CF9">
        <w:rPr>
          <w:rFonts w:ascii="Arial" w:hAnsi="Arial" w:cs="Arial"/>
          <w:color w:val="000000"/>
          <w:szCs w:val="17"/>
        </w:rPr>
        <w:t>Природнадзора</w:t>
      </w:r>
      <w:proofErr w:type="spellEnd"/>
      <w:r w:rsidRPr="00992CF9">
        <w:rPr>
          <w:rFonts w:ascii="Arial" w:hAnsi="Arial" w:cs="Arial"/>
          <w:color w:val="000000"/>
          <w:szCs w:val="17"/>
        </w:rPr>
        <w:t xml:space="preserve"> Югры о проведении мероприятий по расследованию причинения вреда окружающей среде; Актами о проведении мероприятий по расследованию причиненного вреда окружающей среды с фото-таблицами к ним, абрисами и картами-схемами </w:t>
      </w:r>
      <w:proofErr w:type="spellStart"/>
      <w:r w:rsidRPr="00992CF9">
        <w:rPr>
          <w:rFonts w:ascii="Arial" w:hAnsi="Arial" w:cs="Arial"/>
          <w:color w:val="000000"/>
          <w:szCs w:val="17"/>
        </w:rPr>
        <w:t>лесонарушений</w:t>
      </w:r>
      <w:proofErr w:type="spellEnd"/>
      <w:r w:rsidRPr="00992CF9">
        <w:rPr>
          <w:rFonts w:ascii="Arial" w:hAnsi="Arial" w:cs="Arial"/>
          <w:color w:val="000000"/>
          <w:szCs w:val="17"/>
        </w:rPr>
        <w:t xml:space="preserve">; выписками из государственного лесного реестра; Каталогами географических координат </w:t>
      </w:r>
      <w:proofErr w:type="spellStart"/>
      <w:r w:rsidRPr="00992CF9">
        <w:rPr>
          <w:rFonts w:ascii="Arial" w:hAnsi="Arial" w:cs="Arial"/>
          <w:color w:val="000000"/>
          <w:szCs w:val="17"/>
        </w:rPr>
        <w:t>лесонарушений</w:t>
      </w:r>
      <w:proofErr w:type="spellEnd"/>
      <w:r w:rsidRPr="00992CF9">
        <w:rPr>
          <w:rFonts w:ascii="Arial" w:hAnsi="Arial" w:cs="Arial"/>
          <w:color w:val="000000"/>
          <w:szCs w:val="17"/>
        </w:rPr>
        <w:t>; сведениями об инцидентах на трубопроводах; актами технического расследования инцидентов с расчетами излившейся жидкости, а также расчетами ущерба, причиненного лесному фонду.</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Наличие же в почвах вышеуказанных лесных участков нефтепродуктов с превышением концентрации загрязняющих веществ, подтверждаются следующим доказательствами: актами отбора почв; протоколами КХА почв; заключениями по результатам проведения лабораторных исследований, измерений и испытаний </w:t>
      </w:r>
      <w:proofErr w:type="spellStart"/>
      <w:r w:rsidRPr="00992CF9">
        <w:rPr>
          <w:rFonts w:ascii="Arial" w:hAnsi="Arial" w:cs="Arial"/>
          <w:color w:val="000000"/>
          <w:szCs w:val="17"/>
        </w:rPr>
        <w:t>Сургутского</w:t>
      </w:r>
      <w:proofErr w:type="spellEnd"/>
      <w:r w:rsidRPr="00992CF9">
        <w:rPr>
          <w:rFonts w:ascii="Arial" w:hAnsi="Arial" w:cs="Arial"/>
          <w:color w:val="000000"/>
          <w:szCs w:val="17"/>
        </w:rPr>
        <w:t xml:space="preserve"> отдела ФГБУ «ЦЛАТИ по УФО» по ХМАО-Югре, которые Обществом также не оспорены.</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Доказательств отсутствия вины Общества в причинении ущерба лесному</w:t>
      </w:r>
      <w:r>
        <w:rPr>
          <w:rFonts w:ascii="Arial" w:hAnsi="Arial" w:cs="Arial"/>
          <w:color w:val="000000"/>
          <w:szCs w:val="17"/>
        </w:rPr>
        <w:t xml:space="preserve"> </w:t>
      </w:r>
      <w:r w:rsidRPr="00992CF9">
        <w:rPr>
          <w:rFonts w:ascii="Arial" w:hAnsi="Arial" w:cs="Arial"/>
          <w:color w:val="000000"/>
          <w:szCs w:val="17"/>
        </w:rPr>
        <w:t>фонду Нефтеюганского лесничества Нефтеюганского участкового лесничества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и Нефтеюганского урочищ, суду не представлено, при том, что </w:t>
      </w:r>
      <w:r w:rsidRPr="00992CF9">
        <w:rPr>
          <w:rFonts w:ascii="Arial" w:hAnsi="Arial" w:cs="Arial"/>
          <w:color w:val="5B9BD5" w:themeColor="accent1"/>
          <w:szCs w:val="17"/>
        </w:rPr>
        <w:t>в силу статьи 1064 Гражданского кодекса РФ именно ответчик должен доказать отсутствие своей вины в причинении вреда,</w:t>
      </w:r>
      <w:r w:rsidRPr="00992CF9">
        <w:rPr>
          <w:rFonts w:ascii="Arial" w:hAnsi="Arial" w:cs="Arial"/>
          <w:color w:val="000000"/>
          <w:szCs w:val="17"/>
        </w:rPr>
        <w:t xml:space="preserve"> а не истец, как о том заявлено в возражениях на исковое заявление.</w:t>
      </w:r>
      <w:r>
        <w:rPr>
          <w:rFonts w:ascii="Arial" w:hAnsi="Arial" w:cs="Arial"/>
          <w:color w:val="000000"/>
          <w:szCs w:val="17"/>
        </w:rPr>
        <w:t xml:space="preserve"> </w:t>
      </w:r>
      <w:r w:rsidRPr="00992CF9">
        <w:rPr>
          <w:rFonts w:ascii="Arial" w:hAnsi="Arial" w:cs="Arial"/>
          <w:color w:val="000000"/>
          <w:szCs w:val="17"/>
        </w:rPr>
        <w:t xml:space="preserve">Согласно пункту 5 статьи 13 Земельного кодекса РФ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w:t>
      </w:r>
      <w:r w:rsidRPr="00992CF9">
        <w:rPr>
          <w:rFonts w:ascii="Arial" w:hAnsi="Arial" w:cs="Arial"/>
          <w:color w:val="000000"/>
          <w:szCs w:val="17"/>
        </w:rPr>
        <w:lastRenderedPageBreak/>
        <w:t>путем устранения последствий загрязнения почв, восстановления плодородного слоя почвы, создания защитных лесных насаждений.</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Пунктом 8 Постановления Правительства РФ от </w:t>
      </w:r>
      <w:r w:rsidRPr="00992CF9">
        <w:rPr>
          <w:rStyle w:val="data2"/>
          <w:rFonts w:ascii="Arial" w:hAnsi="Arial" w:cs="Arial"/>
          <w:color w:val="000000"/>
          <w:szCs w:val="17"/>
        </w:rPr>
        <w:t>(дата)</w:t>
      </w:r>
      <w:r w:rsidRPr="00992CF9">
        <w:rPr>
          <w:rFonts w:ascii="Arial" w:hAnsi="Arial" w:cs="Arial"/>
          <w:color w:val="000000"/>
          <w:szCs w:val="17"/>
        </w:rPr>
        <w:t> N 800, утвердившим Правила проведения рекультивации и консервации земель, установлено, что рекультивация земель, консервация земель осуществляются в соответствии с утвержденными проектом рекультивации земель, проектом консервации земель путем проведения технических и (или) биологических мероприятий. Технические мероприятия могут предусматривать планировку, формирование откосов, снятие поверхностного слоя почвы, нанесение плодородного слоя почвы, устройство гидротехнических и мелиоративных сооружений, захоронение токсичных вскрышных пород, возведение ограждений, а также проведение других работ, создающих необходимые условия для предотвращения деградации земель, негативного воздействия нарушенных земель на окружающую среду, дальнейшего использования земель по целевому назначению и разрешенному использованию и (или) проведения биологических мероприятий. Биологические мероприятия включают комплекс агротехнических и фитомелиоративных мероприятий, направленных на улучшение агрофизических, агрохимических, биохимических и других свойств почвы.</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В силу пункта 5 Основных положений о рекультивации земель, снятии, сохранении и рациональном использовании плодородного слоя почвы, утвержденных Приказом Минприроды Российской Федерации и Роскомзема от </w:t>
      </w:r>
      <w:r w:rsidRPr="00992CF9">
        <w:rPr>
          <w:rStyle w:val="data2"/>
          <w:rFonts w:ascii="Arial" w:hAnsi="Arial" w:cs="Arial"/>
          <w:color w:val="000000"/>
          <w:szCs w:val="17"/>
        </w:rPr>
        <w:t>(дата)</w:t>
      </w:r>
      <w:r w:rsidRPr="00992CF9">
        <w:rPr>
          <w:rFonts w:ascii="Arial" w:hAnsi="Arial" w:cs="Arial"/>
          <w:color w:val="000000"/>
          <w:szCs w:val="17"/>
        </w:rPr>
        <w:t> N 525/67, рекультивации подлежат земли, нарушенные при складировании и захоронении промышленных, бытовых и других отходов (далее - Основные положения).</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Обществом также не оспаривается, что комплекс работ по рекультивации рассматриваемых загрязненных лесных участков, направленных на полное восстановление нарушенного состояния окружающей среды на основании разработанных для этого проектов рекультивации до настоящего времени не произведены. Доказательств, что загрязненные лесные участки отвечают вышеперечисленным требованиям, материалы дела не содержат.</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Согласно пункту 6 Основных положений, условия приведения нарушенных земель в состояние, пригодное для последующего использования, также порядок снятия, хранения и дальнейшего применения плодородного слоя почвы, устанавливаются органами, предоставляющими земельные участки в пользование и дающими разрешение на про ведение работ, связанных с нарушением почвенного покрова, на основе проектов рекультивации, получивших положительное заключение государственной экологической экспертизы.</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Таким образом, обязанность по разработке проекта рекультивации нарушенных земель, а также получению на него положительного заключения государственной экологической экспертизы, возложена на лицо, обязанное производить рекультивацию нарушенных земель. Отсутствие данного проекта не освобождает от обязанности возмещения вреда окружающей среде.</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Поскольку проекты восстановительных работ, получившие положительное заключение государственной экологической экспертизы о восстановлении естественного состояния рассматриваемых </w:t>
      </w:r>
      <w:proofErr w:type="spellStart"/>
      <w:r w:rsidRPr="00992CF9">
        <w:rPr>
          <w:rFonts w:ascii="Arial" w:hAnsi="Arial" w:cs="Arial"/>
          <w:color w:val="000000"/>
          <w:szCs w:val="17"/>
        </w:rPr>
        <w:t>нефтезагрязненных</w:t>
      </w:r>
      <w:proofErr w:type="spellEnd"/>
      <w:r w:rsidRPr="00992CF9">
        <w:rPr>
          <w:rFonts w:ascii="Arial" w:hAnsi="Arial" w:cs="Arial"/>
          <w:color w:val="000000"/>
          <w:szCs w:val="17"/>
        </w:rPr>
        <w:t xml:space="preserve"> лесных участков у Общества отсутствуют, требования прокурора о понуждении к разработке таковых в порядке, предусмотренном Правилами проведения рекультивации и консервации земель, утвержденными постановлением Правительства РФ от </w:t>
      </w:r>
      <w:r w:rsidRPr="00992CF9">
        <w:rPr>
          <w:rStyle w:val="data2"/>
          <w:rFonts w:ascii="Arial" w:hAnsi="Arial" w:cs="Arial"/>
          <w:color w:val="000000"/>
          <w:szCs w:val="17"/>
        </w:rPr>
        <w:t>(дата)</w:t>
      </w:r>
      <w:r w:rsidRPr="00992CF9">
        <w:rPr>
          <w:rFonts w:ascii="Arial" w:hAnsi="Arial" w:cs="Arial"/>
          <w:color w:val="000000"/>
          <w:szCs w:val="17"/>
        </w:rPr>
        <w:t>, являются законными и обоснованными.</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xml:space="preserve">В соответствии с положениями статьи 201 Гражданского процессуального кодекса РФ срок подготовки проектов рекультивации рассматриваемых лесных участков с учетом их количества и климатических особенностей территории, на </w:t>
      </w:r>
      <w:r w:rsidRPr="00992CF9">
        <w:rPr>
          <w:rFonts w:ascii="Arial" w:hAnsi="Arial" w:cs="Arial"/>
          <w:color w:val="000000"/>
          <w:szCs w:val="17"/>
        </w:rPr>
        <w:lastRenderedPageBreak/>
        <w:t>которых они расположены (наличие снежного покрова с ноября по апрель), суд находит возможным установить в девять месяцев со дня вступления настоящего решения в силу.</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Поскольку в силу подп. 9 пункта 1 статьи 333.36 Налогового кодекса РФ процессуальный истец освобожден от уплаты государственной пошлины при предъявлении иска в интересах Российской Федерации и неопределенного круга лиц, на основании пункта 8 статьи 333.20 названного Кодекса с ответчика в доход местного бюджета подлежит взысканию государственная пошлина в размере 600 рублей, принимая во внимание, что прокурор обратился в суд не в интересах организации по смыслу статьи 333.19 Налогового кодекса РФ.</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Руководствуясь статьями 194-199 Гражданского процессуального кодекса РФ, суд</w:t>
      </w:r>
    </w:p>
    <w:p w:rsidR="00992CF9" w:rsidRPr="00992CF9" w:rsidRDefault="00992CF9" w:rsidP="00992CF9">
      <w:pPr>
        <w:pStyle w:val="a3"/>
        <w:shd w:val="clear" w:color="auto" w:fill="FFFFFF"/>
        <w:spacing w:before="0" w:beforeAutospacing="0" w:after="0" w:afterAutospacing="0"/>
        <w:ind w:firstLine="720"/>
        <w:jc w:val="center"/>
        <w:rPr>
          <w:rFonts w:ascii="Arial" w:hAnsi="Arial" w:cs="Arial"/>
          <w:color w:val="000000"/>
          <w:szCs w:val="17"/>
        </w:rPr>
      </w:pPr>
      <w:r w:rsidRPr="00992CF9">
        <w:rPr>
          <w:rFonts w:ascii="Arial" w:hAnsi="Arial" w:cs="Arial"/>
          <w:color w:val="000000"/>
          <w:szCs w:val="17"/>
        </w:rPr>
        <w:t>РЕШИЛ:</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Иск Нефтеюганского межрайонного прокурора – удовлетворить частично.</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Обязать Общество с ограниченной ответственностью «РН-</w:t>
      </w:r>
      <w:proofErr w:type="spellStart"/>
      <w:r w:rsidRPr="00992CF9">
        <w:rPr>
          <w:rFonts w:ascii="Arial" w:hAnsi="Arial" w:cs="Arial"/>
          <w:color w:val="000000"/>
          <w:szCs w:val="17"/>
        </w:rPr>
        <w:t>Юганскнефтегаз</w:t>
      </w:r>
      <w:proofErr w:type="spellEnd"/>
      <w:r w:rsidRPr="00992CF9">
        <w:rPr>
          <w:rFonts w:ascii="Arial" w:hAnsi="Arial" w:cs="Arial"/>
          <w:color w:val="000000"/>
          <w:szCs w:val="17"/>
        </w:rPr>
        <w:t>» в течение девяти месяцев с момента вступления настоящего решения в законную силу разработать проекты рекультивации следующих лесных участков лесного фонда: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30, 39, 111, 123 квартала 65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60°47&amp;apos;12,5" Е 72°49&amp;apos;07,9"), площадью 0,6168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17, 81 квартала 120 Нефтеюганского урочища Нефтеюганского участкового лесничества Нефтеюганского территориального отдела - лесничества в районе КНС 20 Мамонтовского месторождения (координаты в системе WGS84: N 60°44&amp;apos;07,1" Е 72°59&amp;apos;14,4"), площадью 0,1211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91, 93, 112 квартала 156 Нефтеюганского урочища Нефтеюганского участкового лесничества Нефтеюганского территориального отдела - лесничества в районе куста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60°42&amp;apos;30,9" Е 72°03&amp;apos;16,9"), площадью 0,115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выделе 78 квартала 120 Нефтеюганского урочища Нефтеюганского участкового лесничества Нефтеюганского территориального отдела - лесничества в районе кастовой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60°43&amp;apos;17,4" Е 72°56&amp;apos;41,5"), площадью 0,5407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39, 45, 46, 107, 108, 116, 117 квартала 155, в выделе 25 квартала 156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60°41&amp;apos;44,1" Е 73°03&amp;apos;06,6"), площадью 8,285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37, 38, 104, 107, 115 квартала 155 Нефтеюганского урочища, Нефтеюганского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Мамонтовского месторождения (координаты в системе WGS84: N 60°41&amp;apos;39,2" Е 73°02&amp;apos;51,2"), площадью 3,693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89, 90, 93 квартала 78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а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w:t>
      </w:r>
      <w:proofErr w:type="spellStart"/>
      <w:r w:rsidRPr="00992CF9">
        <w:rPr>
          <w:rFonts w:ascii="Arial" w:hAnsi="Arial" w:cs="Arial"/>
          <w:color w:val="000000"/>
          <w:szCs w:val="17"/>
        </w:rPr>
        <w:t>с.ш</w:t>
      </w:r>
      <w:proofErr w:type="spellEnd"/>
      <w:r w:rsidRPr="00992CF9">
        <w:rPr>
          <w:rFonts w:ascii="Arial" w:hAnsi="Arial" w:cs="Arial"/>
          <w:color w:val="000000"/>
          <w:szCs w:val="17"/>
        </w:rPr>
        <w:t>. 60°29&amp;apos; 53" в.</w:t>
      </w:r>
      <w:r w:rsidRPr="00992CF9">
        <w:rPr>
          <w:rStyle w:val="address2"/>
          <w:rFonts w:ascii="Arial" w:hAnsi="Arial" w:cs="Arial"/>
          <w:color w:val="000000"/>
          <w:szCs w:val="17"/>
        </w:rPr>
        <w:t>(адрес)</w:t>
      </w:r>
      <w:r w:rsidRPr="00992CF9">
        <w:rPr>
          <w:rFonts w:ascii="Arial" w:hAnsi="Arial" w:cs="Arial"/>
          <w:color w:val="000000"/>
          <w:szCs w:val="17"/>
        </w:rPr>
        <w:t>°15&amp;apos;05,4"), площадью 0,8814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72, 120 квартала 77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w:t>
      </w:r>
      <w:r w:rsidRPr="00992CF9">
        <w:rPr>
          <w:rFonts w:ascii="Arial" w:hAnsi="Arial" w:cs="Arial"/>
          <w:color w:val="000000"/>
          <w:szCs w:val="17"/>
        </w:rPr>
        <w:lastRenderedPageBreak/>
        <w:t>площадки </w:t>
      </w:r>
      <w:r w:rsidRPr="00992CF9">
        <w:rPr>
          <w:rStyle w:val="nomer2"/>
          <w:rFonts w:ascii="Arial" w:hAnsi="Arial" w:cs="Arial"/>
          <w:color w:val="000000"/>
          <w:szCs w:val="17"/>
        </w:rPr>
        <w:t>№</w:t>
      </w:r>
      <w:r w:rsidRPr="00992CF9">
        <w:rPr>
          <w:rFonts w:ascii="Arial" w:hAnsi="Arial" w:cs="Arial"/>
          <w:color w:val="000000"/>
          <w:szCs w:val="17"/>
        </w:rPr>
        <w:t>б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60°29&amp;apos;49,9" Е 72°14&amp;apos;41,6"), площадью 0,306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выделе 76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ДНС-2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60°27&amp;apos;51,6" Е 72°19&amp;apos;20,7"), площадью 0,4252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44, 64, 66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площадки </w:t>
      </w:r>
      <w:r w:rsidRPr="00992CF9">
        <w:rPr>
          <w:rStyle w:val="nomer2"/>
          <w:rFonts w:ascii="Arial" w:hAnsi="Arial" w:cs="Arial"/>
          <w:color w:val="000000"/>
          <w:szCs w:val="17"/>
        </w:rPr>
        <w:t>№</w:t>
      </w:r>
      <w:r w:rsidRPr="00992CF9">
        <w:rPr>
          <w:rFonts w:ascii="Arial" w:hAnsi="Arial" w:cs="Arial"/>
          <w:color w:val="000000"/>
          <w:szCs w:val="17"/>
        </w:rPr>
        <w:t>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60°27&amp;apos;28,1" Е 72°18&amp;apos;11,5"), площадью 1,764 га.;</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 выделах 44, 64 квартала 110 Юнг-</w:t>
      </w:r>
      <w:proofErr w:type="spellStart"/>
      <w:r w:rsidRPr="00992CF9">
        <w:rPr>
          <w:rFonts w:ascii="Arial" w:hAnsi="Arial" w:cs="Arial"/>
          <w:color w:val="000000"/>
          <w:szCs w:val="17"/>
        </w:rPr>
        <w:t>Яхского</w:t>
      </w:r>
      <w:proofErr w:type="spellEnd"/>
      <w:r w:rsidRPr="00992CF9">
        <w:rPr>
          <w:rFonts w:ascii="Arial" w:hAnsi="Arial" w:cs="Arial"/>
          <w:color w:val="000000"/>
          <w:szCs w:val="17"/>
        </w:rPr>
        <w:t xml:space="preserve"> участкового лесничества Нефтеюганского территориального отдела - лесничества в районе кустовой площадке </w:t>
      </w:r>
      <w:r w:rsidRPr="00992CF9">
        <w:rPr>
          <w:rStyle w:val="nomer2"/>
          <w:rFonts w:ascii="Arial" w:hAnsi="Arial" w:cs="Arial"/>
          <w:color w:val="000000"/>
          <w:szCs w:val="17"/>
        </w:rPr>
        <w:t>№</w:t>
      </w:r>
      <w:r w:rsidRPr="00992CF9">
        <w:rPr>
          <w:rFonts w:ascii="Arial" w:hAnsi="Arial" w:cs="Arial"/>
          <w:color w:val="000000"/>
          <w:szCs w:val="17"/>
        </w:rPr>
        <w:t>    Мало-</w:t>
      </w:r>
      <w:proofErr w:type="spellStart"/>
      <w:r w:rsidRPr="00992CF9">
        <w:rPr>
          <w:rFonts w:ascii="Arial" w:hAnsi="Arial" w:cs="Arial"/>
          <w:color w:val="000000"/>
          <w:szCs w:val="17"/>
        </w:rPr>
        <w:t>Балыкского</w:t>
      </w:r>
      <w:proofErr w:type="spellEnd"/>
      <w:r w:rsidRPr="00992CF9">
        <w:rPr>
          <w:rFonts w:ascii="Arial" w:hAnsi="Arial" w:cs="Arial"/>
          <w:color w:val="000000"/>
          <w:szCs w:val="17"/>
        </w:rPr>
        <w:t xml:space="preserve"> месторождения (координаты в системе WGS84: N 60°27&amp;apos;33,2" Е 72°18&amp;apos;19,7"), площадью 0,117 га., восстановив естественное состояние указанных </w:t>
      </w:r>
      <w:proofErr w:type="spellStart"/>
      <w:r w:rsidRPr="00992CF9">
        <w:rPr>
          <w:rFonts w:ascii="Arial" w:hAnsi="Arial" w:cs="Arial"/>
          <w:color w:val="000000"/>
          <w:szCs w:val="17"/>
        </w:rPr>
        <w:t>нефтезагрязненных</w:t>
      </w:r>
      <w:proofErr w:type="spellEnd"/>
      <w:r w:rsidRPr="00992CF9">
        <w:rPr>
          <w:rFonts w:ascii="Arial" w:hAnsi="Arial" w:cs="Arial"/>
          <w:color w:val="000000"/>
          <w:szCs w:val="17"/>
        </w:rPr>
        <w:t xml:space="preserve"> лесных участков путем проведения </w:t>
      </w:r>
      <w:proofErr w:type="spellStart"/>
      <w:r w:rsidRPr="00992CF9">
        <w:rPr>
          <w:rFonts w:ascii="Arial" w:hAnsi="Arial" w:cs="Arial"/>
          <w:color w:val="000000"/>
          <w:szCs w:val="17"/>
        </w:rPr>
        <w:t>рекультивационных</w:t>
      </w:r>
      <w:proofErr w:type="spellEnd"/>
      <w:r w:rsidRPr="00992CF9">
        <w:rPr>
          <w:rFonts w:ascii="Arial" w:hAnsi="Arial" w:cs="Arial"/>
          <w:color w:val="000000"/>
          <w:szCs w:val="17"/>
        </w:rPr>
        <w:t xml:space="preserve"> работ на основании проектов рекультивации земель, разработанных, согласованных и утвержденных в порядке, предусмотренном Правилами проведения рекультивации и консервации земель, утвержденными постановлением Правительства Российской Федерации от </w:t>
      </w:r>
      <w:r w:rsidRPr="00992CF9">
        <w:rPr>
          <w:rStyle w:val="data2"/>
          <w:rFonts w:ascii="Arial" w:hAnsi="Arial" w:cs="Arial"/>
          <w:color w:val="000000"/>
          <w:szCs w:val="17"/>
        </w:rPr>
        <w:t>(дата)</w:t>
      </w:r>
      <w:r w:rsidRPr="00992CF9">
        <w:rPr>
          <w:rFonts w:ascii="Arial" w:hAnsi="Arial" w:cs="Arial"/>
          <w:color w:val="000000"/>
          <w:szCs w:val="17"/>
        </w:rPr>
        <w:t> </w:t>
      </w:r>
      <w:r w:rsidRPr="00992CF9">
        <w:rPr>
          <w:rStyle w:val="nomer2"/>
          <w:rFonts w:ascii="Arial" w:hAnsi="Arial" w:cs="Arial"/>
          <w:color w:val="000000"/>
          <w:szCs w:val="17"/>
        </w:rPr>
        <w:t>№</w:t>
      </w:r>
      <w:r w:rsidRPr="00992CF9">
        <w:rPr>
          <w:rFonts w:ascii="Arial" w:hAnsi="Arial" w:cs="Arial"/>
          <w:color w:val="000000"/>
          <w:szCs w:val="17"/>
        </w:rPr>
        <w:t>.</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Взыскать с Общества с ограниченной ответственностью «РН-</w:t>
      </w:r>
      <w:proofErr w:type="spellStart"/>
      <w:r w:rsidRPr="00992CF9">
        <w:rPr>
          <w:rFonts w:ascii="Arial" w:hAnsi="Arial" w:cs="Arial"/>
          <w:color w:val="000000"/>
          <w:szCs w:val="17"/>
        </w:rPr>
        <w:t>Юганскнефтегаз</w:t>
      </w:r>
      <w:proofErr w:type="spellEnd"/>
      <w:r w:rsidRPr="00992CF9">
        <w:rPr>
          <w:rFonts w:ascii="Arial" w:hAnsi="Arial" w:cs="Arial"/>
          <w:color w:val="000000"/>
          <w:szCs w:val="17"/>
        </w:rPr>
        <w:t>» в доход бюджета </w:t>
      </w:r>
      <w:r w:rsidRPr="00992CF9">
        <w:rPr>
          <w:rStyle w:val="address2"/>
          <w:rFonts w:ascii="Arial" w:hAnsi="Arial" w:cs="Arial"/>
          <w:color w:val="000000"/>
          <w:szCs w:val="17"/>
        </w:rPr>
        <w:t>(адрес)</w:t>
      </w:r>
      <w:r w:rsidRPr="00992CF9">
        <w:rPr>
          <w:rFonts w:ascii="Arial" w:hAnsi="Arial" w:cs="Arial"/>
          <w:color w:val="000000"/>
          <w:szCs w:val="17"/>
        </w:rPr>
        <w:t> государственную пошлину в сумме 600 (шестьсот) рублей.</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Решение может быть обжаловано в апелляционном порядке в течение месяца со дня принятия в окончательной форме, в суд </w:t>
      </w:r>
      <w:r w:rsidRPr="00992CF9">
        <w:rPr>
          <w:rStyle w:val="address2"/>
          <w:rFonts w:ascii="Arial" w:hAnsi="Arial" w:cs="Arial"/>
          <w:color w:val="000000"/>
          <w:szCs w:val="17"/>
        </w:rPr>
        <w:t>(адрес)</w:t>
      </w:r>
      <w:r w:rsidRPr="00992CF9">
        <w:rPr>
          <w:rFonts w:ascii="Arial" w:hAnsi="Arial" w:cs="Arial"/>
          <w:color w:val="000000"/>
          <w:szCs w:val="17"/>
        </w:rPr>
        <w:t> - Югры через Нефтеюганский районный суд.</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В окончательной форме решение принято </w:t>
      </w:r>
      <w:r w:rsidRPr="00992CF9">
        <w:rPr>
          <w:rStyle w:val="data2"/>
          <w:rFonts w:ascii="Arial" w:hAnsi="Arial" w:cs="Arial"/>
          <w:color w:val="000000"/>
          <w:szCs w:val="17"/>
        </w:rPr>
        <w:t>(дата)</w:t>
      </w:r>
      <w:r w:rsidRPr="00992CF9">
        <w:rPr>
          <w:rFonts w:ascii="Arial" w:hAnsi="Arial" w:cs="Arial"/>
          <w:color w:val="000000"/>
          <w:szCs w:val="17"/>
        </w:rPr>
        <w:t>.</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СУДЬЯ: подпись.</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Верно: Судья                         И.И. Фоменко</w:t>
      </w:r>
    </w:p>
    <w:p w:rsidR="00992CF9" w:rsidRPr="00992CF9" w:rsidRDefault="00992CF9" w:rsidP="00992CF9">
      <w:pPr>
        <w:pStyle w:val="a3"/>
        <w:shd w:val="clear" w:color="auto" w:fill="FFFFFF"/>
        <w:spacing w:before="0" w:beforeAutospacing="0" w:after="0" w:afterAutospacing="0"/>
        <w:ind w:firstLine="720"/>
        <w:jc w:val="both"/>
        <w:rPr>
          <w:rFonts w:ascii="Arial" w:hAnsi="Arial" w:cs="Arial"/>
          <w:color w:val="000000"/>
          <w:szCs w:val="17"/>
        </w:rPr>
      </w:pPr>
      <w:r w:rsidRPr="00992CF9">
        <w:rPr>
          <w:rFonts w:ascii="Arial" w:hAnsi="Arial" w:cs="Arial"/>
          <w:color w:val="000000"/>
          <w:szCs w:val="17"/>
        </w:rPr>
        <w:t>    Решение в законную силу не вступило.</w:t>
      </w:r>
    </w:p>
    <w:p w:rsidR="0060723D" w:rsidRDefault="0060723D"/>
    <w:sectPr w:rsidR="006072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CF9"/>
    <w:rsid w:val="0060723D"/>
    <w:rsid w:val="00806991"/>
    <w:rsid w:val="00992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7B3E"/>
  <w15:chartTrackingRefBased/>
  <w15:docId w15:val="{A731C824-A059-4FF3-BF5A-568B008C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2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992CF9"/>
  </w:style>
  <w:style w:type="character" w:customStyle="1" w:styleId="address2">
    <w:name w:val="address2"/>
    <w:basedOn w:val="a0"/>
    <w:rsid w:val="00992CF9"/>
  </w:style>
  <w:style w:type="character" w:customStyle="1" w:styleId="data2">
    <w:name w:val="data2"/>
    <w:basedOn w:val="a0"/>
    <w:rsid w:val="00992CF9"/>
  </w:style>
  <w:style w:type="character" w:styleId="a4">
    <w:name w:val="Hyperlink"/>
    <w:basedOn w:val="a0"/>
    <w:uiPriority w:val="99"/>
    <w:semiHidden/>
    <w:unhideWhenUsed/>
    <w:rsid w:val="00992CF9"/>
    <w:rPr>
      <w:color w:val="0000FF"/>
      <w:u w:val="single"/>
    </w:rPr>
  </w:style>
  <w:style w:type="character" w:styleId="a5">
    <w:name w:val="FollowedHyperlink"/>
    <w:basedOn w:val="a0"/>
    <w:uiPriority w:val="99"/>
    <w:semiHidden/>
    <w:unhideWhenUsed/>
    <w:rsid w:val="00992C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2744</Words>
  <Characters>15642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SIBUR</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Горшкова Екатерина Александровна</dc:creator>
  <cp:keywords/>
  <dc:description/>
  <cp:lastModifiedBy>Горшкова Екатерина Александровна</cp:lastModifiedBy>
  <cp:revision>1</cp:revision>
  <dcterms:created xsi:type="dcterms:W3CDTF">2022-09-06T13:14:00Z</dcterms:created>
  <dcterms:modified xsi:type="dcterms:W3CDTF">2022-09-06T13:49:00Z</dcterms:modified>
</cp:coreProperties>
</file>