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D6" w:rsidRPr="00CF17D6" w:rsidRDefault="00CF17D6" w:rsidP="00CF17D6">
      <w:pPr>
        <w:spacing w:after="0" w:line="274" w:lineRule="atLeast"/>
        <w:outlineLvl w:val="0"/>
        <w:rPr>
          <w:rFonts w:ascii="Times New Roman" w:eastAsia="Times New Roman" w:hAnsi="Times New Roman" w:cs="Times New Roman"/>
          <w:b/>
          <w:color w:val="262421"/>
          <w:kern w:val="36"/>
          <w:sz w:val="32"/>
          <w:szCs w:val="32"/>
          <w:lang w:eastAsia="ru-RU"/>
        </w:rPr>
      </w:pPr>
      <w:r w:rsidRPr="00CF17D6">
        <w:rPr>
          <w:rFonts w:ascii="Times New Roman" w:eastAsia="Times New Roman" w:hAnsi="Times New Roman" w:cs="Times New Roman"/>
          <w:b/>
          <w:color w:val="262421"/>
          <w:kern w:val="36"/>
          <w:sz w:val="32"/>
          <w:szCs w:val="32"/>
          <w:lang w:eastAsia="ru-RU"/>
        </w:rPr>
        <w:t>Апелляционное определение Красноярского краевого суда от 08.04.2019 по делу N 33-5089/2019</w:t>
      </w:r>
    </w:p>
    <w:p w:rsid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b/>
          <w:bCs/>
          <w:color w:val="262421"/>
          <w:sz w:val="24"/>
          <w:szCs w:val="24"/>
          <w:lang w:eastAsia="ru-RU"/>
        </w:rPr>
      </w:pP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b/>
          <w:bCs/>
          <w:color w:val="262421"/>
          <w:sz w:val="24"/>
          <w:szCs w:val="24"/>
          <w:lang w:eastAsia="ru-RU"/>
        </w:rPr>
        <w:t>Требование:</w:t>
      </w: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 xml:space="preserve"> Об исключении пунктов из трудового договора и должностной инструкции, признании </w:t>
      </w:r>
      <w:proofErr w:type="gramStart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незаконным</w:t>
      </w:r>
      <w:proofErr w:type="gramEnd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 xml:space="preserve"> дополнительного соглашения.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b/>
          <w:bCs/>
          <w:color w:val="262421"/>
          <w:sz w:val="24"/>
          <w:szCs w:val="24"/>
          <w:lang w:eastAsia="ru-RU"/>
        </w:rPr>
        <w:t>Обстоятельства:</w:t>
      </w: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 Работодатель произвел переименование должности без изменения функциональных обязанностей, лишив работника права на надбавку за вредные условия труда, сокращенную рабочую неделю и дополнительный отпуск.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b/>
          <w:bCs/>
          <w:color w:val="262421"/>
          <w:sz w:val="24"/>
          <w:szCs w:val="24"/>
          <w:lang w:eastAsia="ru-RU"/>
        </w:rPr>
        <w:t>Решение:</w:t>
      </w: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 Дело направлено для рассмотрения по существу.</w:t>
      </w:r>
    </w:p>
    <w:p w:rsid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КРАСНОЯРСКИЙ КРАЕВОЙ СУД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АПЕЛЛЯЦИОННОЕ ОПРЕДЕЛЕНИЕ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от 8 апреля 2019 г. по делу N 33-5089/2019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Судья: Викторова Ю.В.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2.065 г.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Судебная коллегия по гражданским делам Красноярского краевого суда в составе: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председательствующего Киселевой А.А.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судей Беляковой Н.В., Туровой Т.В.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при секретаре П.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рассмотрела в открытом судебном заседании по докладу судьи Киселевой А.А.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proofErr w:type="gramStart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гражданское дело по иску К. к краевому государственному бюджетному учреждению здравоохранения "</w:t>
      </w:r>
      <w:proofErr w:type="spellStart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Тюхтетская</w:t>
      </w:r>
      <w:proofErr w:type="spellEnd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 xml:space="preserve"> районная больница" об исключении пунктов о должностных обязанностей из трудового договора, должностной инструкции, признании заключенного дополнительного соглашения незаконным, компенсации морального вреда,</w:t>
      </w:r>
      <w:proofErr w:type="gramEnd"/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по апелляционной жалобе К.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 xml:space="preserve">на решение </w:t>
      </w:r>
      <w:proofErr w:type="spellStart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Тюхтетского</w:t>
      </w:r>
      <w:proofErr w:type="spellEnd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 xml:space="preserve"> районного суда Красноярского края от 07 февраля 2019 года, которым постановлено: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proofErr w:type="gramStart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"Иск К. к краевому государственному бюджетному учреждению здравоохранения "</w:t>
      </w:r>
      <w:proofErr w:type="spellStart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Тюхтетская</w:t>
      </w:r>
      <w:proofErr w:type="spellEnd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 xml:space="preserve"> районная больница" об исключении пунктов о должностных обязанностей из </w:t>
      </w: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lastRenderedPageBreak/>
        <w:t>трудового договора, должностной инструкции, признании заключенного дополнительного соглашения незаконным, компенсации морального вреда оставить без удовлетворения".</w:t>
      </w:r>
      <w:proofErr w:type="gramEnd"/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Заслушав докладчика, судебная коллегия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установила: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proofErr w:type="gramStart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К. обратилась в суд с иском (с учетом уточненных требований) к КГБУЗ "</w:t>
      </w:r>
      <w:proofErr w:type="spellStart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Тюхтетская</w:t>
      </w:r>
      <w:proofErr w:type="spellEnd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 xml:space="preserve"> районная больница" об исключении из трудового договора, заключенного между ней и ответчиком 29.09.2017 года, пунктов 2.7.1, 2.7.2, 2.7.3, 2.7.4, 2.7.6, 2.10, 2.11, 2.13, 2.19, 2.20, 2.21, 2.23, предусматривающих выполнение работ по должности санитарки, исключении из должностной инструкции уборщика производственных и служебных помещений, утвержденной 20.09.2017 года, пунктов 1.7.4</w:t>
      </w:r>
      <w:proofErr w:type="gramEnd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 xml:space="preserve">, 1.7.5, 1.7.6, 2.7.1, 2.7.2, 2.7.3, 2.7.4, 2.7.6, 2.10, 2.13, 2.19, 2.20, 2.21, 2.23, предусматривающих выполнение работ по должности санитарки, признании незаконным дополнительного соглашения от 01.10.2018 года к трудовому договору от 29.09.2017 года, в </w:t>
      </w:r>
      <w:proofErr w:type="gramStart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соответствии</w:t>
      </w:r>
      <w:proofErr w:type="gramEnd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 xml:space="preserve"> с условиями которого ей установлено 0,75 ставки уборщика служебных помещений, указав, что работодатель фактически произвел сокращение должностей санитарок и ввел должности уборщиков служебных помещений с функциями санитарок, что повлекло утрату у истца права на надбавку за вредные условия труда, право на сокращенную рабочую неделю и право на дополнительный ежегодный оплачиваемый отпуск продолжительностью 14 календарных дней.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Фактически работодатель произвел переименование должности с санитарки на уборщика служебных помещений, без изменения функциональных обязанностей, лишив при этом работника права на указанные гарантии.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В указанной связи истец просила исключить из трудового договора и должностной инструкции выполнение обязанностей санитарки, компенсировать моральный вред в сумме 10000 рублей.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Судом постановлено вышеуказанное решение.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proofErr w:type="gramStart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В апелляционной жалобе К. просит решение суда отменить как незаконное и необоснованное, принятое с нарушением норм материального и процессуального права, неправильным определением фактических обстоятельств дела, ссылаясь на доказанность факта одновременного выполнения ею обязанностей по должностям уборщика и санитарки, указывая на соблюдение ею процессуального срока на обращение в суд за защитой нарушенных трудовых прав.</w:t>
      </w:r>
      <w:proofErr w:type="gramEnd"/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lastRenderedPageBreak/>
        <w:t>В судебное заседание К., представитель ГКБУЗ "</w:t>
      </w:r>
      <w:proofErr w:type="spellStart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Тюхтетская</w:t>
      </w:r>
      <w:proofErr w:type="spellEnd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 xml:space="preserve"> районная больница", надлежаще извещенные о времени и месте судебного заседания, не явились, о причинах неявки не сообщили, с ходатайством об отложении судебного разбирательства не обратились, в </w:t>
      </w:r>
      <w:proofErr w:type="gramStart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связи</w:t>
      </w:r>
      <w:proofErr w:type="gramEnd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 xml:space="preserve"> с чем судебная коллегия, в соответствии со ст. 167 ГПК РФ, считает возможным рассмотреть дело в их отсутствие.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Проверив материалы дела, заслушав представителя К. - И. (доверенность от 22.02.2019 года), поддержавшую доводы апелляционной жалобы, обсудив доводы апелляционной жалобы, судебная коллегия приходит к следующему.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proofErr w:type="gramStart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В силу положений ст. 392 Трудового кодекса Российской Федерации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</w:t>
      </w:r>
      <w:proofErr w:type="gramEnd"/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При пропуске по уважительным причинам указанных сроков они могут быть восстановлены судом.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proofErr w:type="gramStart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Исходя из положений ч. 1 ст. 12, ст. ст. 152, 153 Гражданского процессуального кодекса Российской Федерации правосудие по гражданским делам осуществляется на основе состязательности и равноправия сторон, вопрос о пропуске истцом срока обращения в суд разрешается судом, в том числе в ходе судебного разбирательства при условии, если об этом заявлено ответчиком.</w:t>
      </w:r>
      <w:proofErr w:type="gramEnd"/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Принимая решение об отказе К. в удовлетворении заявленных требований, суд первой инстанции пришел к выводу о пропуске истцом установленного ст. 392 ТК РФ срока на обращение в суд с указанным иском.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Так, суд установил, что К. работала в КГБУ "</w:t>
      </w:r>
      <w:proofErr w:type="spellStart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Тюхтетская</w:t>
      </w:r>
      <w:proofErr w:type="spellEnd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 xml:space="preserve"> районная больница" санитаркой, была переведена с должности санитарки на должность уборщика служебных помещений хирургического отделения больницы на основании приказа от 11.07.2017 года N 58, с которым истец была ознакомлена 21.07.2017 года. Трудовой договор, содержащий трудовые обязанности истца по должности уборщика производственных и служебных помещений между сторонами настоящего спора был заключен и подписан 29.09.2017 года; должностная инструкция уборщика производственных и служебных помещений стационара была утверждена 20.09.2017 года, согласно данным листа ознакомления истец была ознакомлена с указанной должностной инструкцией 29.09.2017 года.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Исковое заявление с требованиями об исключении из трудового договора и должностной инструкции ряда пунктов, определяющих должностные обязанности работника, подано истцом в суд 17.12.2018 года, то есть с пропуском установленного законом срока.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lastRenderedPageBreak/>
        <w:t>Разрешая требования истца о признании дополнительного соглашения, заключенного между сторонами 01.10.2018 года незаконным, суд установил, что истец обратилась к ответчику с заявлением о своем согласии на перевод 01.10.2018 года на 0,75 ставки по занимаемой должности 07.08.2018 года, что следует из ее личного заявления.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Дополнительное соглашение к трудовому договору от 29.09.2017 года заключено между сторонами настоящего трудового спора и подписано ими 01.10.2018 года, как следует из текста документа, истец в тот же день получила экземпляр соглашения, что так же подтверждено ее подписью.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В суд с требованием о признании незаконным дополнительного соглашения истец обратился 29.01.2019 года, то есть с пропуском предусмотренного законом трехмесячного срока обращения в суд за разрешением индивидуального трудового спора.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Доказательств, свидетельствующих о пропуске срока на обращение в суд с заявленными требованиями по уважительной причине, истцом не представлено.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 xml:space="preserve">В указанной связи суд первой инстанции принял решение </w:t>
      </w:r>
      <w:proofErr w:type="gramStart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об отказе в иске в связи с пропуском обращения в суд</w:t>
      </w:r>
      <w:proofErr w:type="gramEnd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 xml:space="preserve"> за защитой нарушенного права без исследования обстоятельств настоящего спора.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Между тем, если работник, соглашаясь на работу в измененных работодателем условиях труда, полагает при этом, что нарушены его трудовые права, он имеет право на обращение в суд за защитой нарушенного права в период действия трудового договора между работником и работодателем.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 xml:space="preserve">Таким образом, вывод суда первой инстанции об исчислении срока на обращение в суд за защитой нарушенного права </w:t>
      </w:r>
      <w:proofErr w:type="gramStart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с даты подписания</w:t>
      </w:r>
      <w:proofErr w:type="gramEnd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 xml:space="preserve"> истцом трудового договора, ознакомления с должностной инструкцией, даты подписания дополнительного соглашения к трудовому договору основан на неверно примененных положениях ст. 392 ТК РФ.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proofErr w:type="gramStart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В соответствии с пунктом 8 Постановления Пленума Верховного Суда РФ от 19.06.2012 года N 13 "О применении судами норм гражданского процессуального законодательства, регламентирующих производство в суде апелляционной инстанции" если суд апелляционной инстанции придет к выводу о том, что принятое судом первой инстанции в предварительном судебном заседании (абзац 2 части 6 статьи 152 ГПК РФ) решение об отказе в удовлетворении иска</w:t>
      </w:r>
      <w:proofErr w:type="gramEnd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 xml:space="preserve"> по причине пропуска срока исковой давности или пропуска установленного федеральным законом срока обращения в суд является незаконным и (или) необоснованным, то он на основании части 1 статьи 330 и статьи 328 ГПК РФ отменяет решение суда первой инстанции. В такой ситуации с учетом положений абзаца второго части 1 статьи 327 ГПК РФ о повторном рассмотрении дела судом апелляционной инстанции оно подлежит направлению в суд первой инстанции для его рассмотрения по </w:t>
      </w: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lastRenderedPageBreak/>
        <w:t>существу заявленных требований, поскольку обжалуемое решение суда было вынесено без исследования и установления иных фактических обстоятельств.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В указанной связи решение суда подлежит отмене с направлением дела для рассмотрения по существу заявленных требований.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 xml:space="preserve">На основании </w:t>
      </w:r>
      <w:proofErr w:type="gramStart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изложенного</w:t>
      </w:r>
      <w:proofErr w:type="gramEnd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, руководствуясь ст. ст. 328, 329 ГПК РФ, судебная коллегия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определила:</w:t>
      </w:r>
    </w:p>
    <w:p w:rsidR="00CF17D6" w:rsidRPr="00CF17D6" w:rsidRDefault="00CF17D6" w:rsidP="00CF17D6">
      <w:pPr>
        <w:spacing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</w:p>
    <w:p w:rsidR="00CF17D6" w:rsidRPr="00CF17D6" w:rsidRDefault="00CF17D6" w:rsidP="00CF17D6">
      <w:pPr>
        <w:spacing w:after="0" w:line="360" w:lineRule="atLeast"/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</w:pPr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 xml:space="preserve">Решение </w:t>
      </w:r>
      <w:proofErr w:type="spellStart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>Тюхтетского</w:t>
      </w:r>
      <w:proofErr w:type="spellEnd"/>
      <w:r w:rsidRPr="00CF17D6">
        <w:rPr>
          <w:rFonts w:ascii="Times New Roman" w:eastAsia="Times New Roman" w:hAnsi="Times New Roman" w:cs="Times New Roman"/>
          <w:color w:val="262421"/>
          <w:sz w:val="24"/>
          <w:szCs w:val="24"/>
          <w:lang w:eastAsia="ru-RU"/>
        </w:rPr>
        <w:t xml:space="preserve"> районного суда от 07 февраля 2019 года отменить с направлением дела для рассмотрения по существу заявленных требований</w:t>
      </w:r>
    </w:p>
    <w:p w:rsidR="008F2990" w:rsidRPr="00CF17D6" w:rsidRDefault="008F2990">
      <w:pPr>
        <w:rPr>
          <w:rFonts w:ascii="Times New Roman" w:hAnsi="Times New Roman" w:cs="Times New Roman"/>
        </w:rPr>
      </w:pPr>
    </w:p>
    <w:sectPr w:rsidR="008F2990" w:rsidRPr="00CF17D6" w:rsidSect="008F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7D6"/>
    <w:rsid w:val="008F2990"/>
    <w:rsid w:val="00CF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90"/>
  </w:style>
  <w:style w:type="paragraph" w:styleId="1">
    <w:name w:val="heading 1"/>
    <w:basedOn w:val="a"/>
    <w:link w:val="10"/>
    <w:uiPriority w:val="9"/>
    <w:qFormat/>
    <w:rsid w:val="00CF1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17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17D6"/>
    <w:rPr>
      <w:b/>
      <w:bCs/>
    </w:rPr>
  </w:style>
  <w:style w:type="character" w:customStyle="1" w:styleId="apple-converted-space">
    <w:name w:val="apple-converted-space"/>
    <w:basedOn w:val="a0"/>
    <w:rsid w:val="00CF1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370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MKovaleva</dc:creator>
  <cp:keywords/>
  <dc:description/>
  <cp:lastModifiedBy>MKovaleva</cp:lastModifiedBy>
  <cp:revision>2</cp:revision>
  <dcterms:created xsi:type="dcterms:W3CDTF">2019-05-15T07:21:00Z</dcterms:created>
  <dcterms:modified xsi:type="dcterms:W3CDTF">2019-05-15T07:22:00Z</dcterms:modified>
</cp:coreProperties>
</file>